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7F" w:rsidRPr="00533BF1" w:rsidRDefault="0011527F" w:rsidP="0011527F">
      <w:pPr>
        <w:pStyle w:val="Titulek"/>
        <w:rPr>
          <w:color w:val="auto"/>
          <w:sz w:val="28"/>
          <w:szCs w:val="28"/>
        </w:rPr>
      </w:pPr>
      <w:r w:rsidRPr="00533BF1">
        <w:rPr>
          <w:color w:val="auto"/>
          <w:sz w:val="28"/>
          <w:szCs w:val="28"/>
        </w:rPr>
        <w:t>Není kov jako kov</w:t>
      </w:r>
      <w:r>
        <w:rPr>
          <w:color w:val="auto"/>
          <w:sz w:val="28"/>
          <w:szCs w:val="28"/>
        </w:rPr>
        <w:t xml:space="preserve"> </w:t>
      </w:r>
      <w:r w:rsidRPr="00756B48">
        <w:rPr>
          <w:b w:val="0"/>
          <w:bCs w:val="0"/>
          <w:i/>
          <w:iCs/>
          <w:color w:val="auto"/>
          <w:sz w:val="28"/>
          <w:szCs w:val="28"/>
        </w:rPr>
        <w:t>(pracovní list – zadání)</w:t>
      </w:r>
    </w:p>
    <w:p w:rsidR="0011527F" w:rsidRDefault="0011527F" w:rsidP="0011527F">
      <w:pPr>
        <w:pStyle w:val="Odstavecseseznamem"/>
        <w:numPr>
          <w:ilvl w:val="0"/>
          <w:numId w:val="1"/>
        </w:numPr>
        <w:spacing w:before="120"/>
        <w:rPr>
          <w:szCs w:val="24"/>
        </w:rPr>
      </w:pPr>
      <w:r w:rsidRPr="00D8286D">
        <w:rPr>
          <w:szCs w:val="24"/>
        </w:rPr>
        <w:t>Otevřete si aplikaci Beaker</w:t>
      </w:r>
      <w:r w:rsidRPr="00B02217">
        <w:rPr>
          <w:szCs w:val="24"/>
        </w:rPr>
        <w:t xml:space="preserve">. Kolečkem v pravém horním rohu rozviňte nabídku sloučenin a kliknutím vložte </w:t>
      </w:r>
      <w:r>
        <w:rPr>
          <w:szCs w:val="24"/>
        </w:rPr>
        <w:t>hořčík</w:t>
      </w:r>
      <w:r w:rsidRPr="00EE1645">
        <w:rPr>
          <w:szCs w:val="24"/>
        </w:rPr>
        <w:t xml:space="preserve"> </w:t>
      </w:r>
      <w:r w:rsidRPr="00B02217">
        <w:rPr>
          <w:szCs w:val="24"/>
        </w:rPr>
        <w:t xml:space="preserve">do kádinky. </w:t>
      </w:r>
      <w:r>
        <w:rPr>
          <w:szCs w:val="24"/>
        </w:rPr>
        <w:t>Následně</w:t>
      </w:r>
      <w:r w:rsidRPr="00B02217">
        <w:rPr>
          <w:szCs w:val="24"/>
        </w:rPr>
        <w:t xml:space="preserve"> přidejte do kádinky </w:t>
      </w:r>
      <w:r>
        <w:rPr>
          <w:szCs w:val="24"/>
        </w:rPr>
        <w:t>kyselinu sírovou</w:t>
      </w:r>
      <w:r w:rsidRPr="00B02217">
        <w:rPr>
          <w:szCs w:val="24"/>
        </w:rPr>
        <w:t xml:space="preserve">. Pozorujte a zapište průběh reakce. Poté kádinku vyprázdněte a vložte do kádinky </w:t>
      </w:r>
      <w:r>
        <w:rPr>
          <w:szCs w:val="24"/>
        </w:rPr>
        <w:t>měď</w:t>
      </w:r>
      <w:r w:rsidRPr="00B02217">
        <w:rPr>
          <w:szCs w:val="24"/>
        </w:rPr>
        <w:t xml:space="preserve"> a </w:t>
      </w:r>
      <w:r>
        <w:rPr>
          <w:szCs w:val="24"/>
        </w:rPr>
        <w:t>kyselinu sírovou</w:t>
      </w:r>
      <w:r w:rsidRPr="00B02217">
        <w:rPr>
          <w:szCs w:val="24"/>
        </w:rPr>
        <w:t xml:space="preserve">. Pozorujte a zapište průběh reakce. </w:t>
      </w:r>
    </w:p>
    <w:p w:rsidR="0011527F" w:rsidRPr="0056180F" w:rsidRDefault="0011527F" w:rsidP="0011527F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Mg + </w:t>
      </w:r>
      <w:r w:rsidRPr="00E4052D">
        <w:rPr>
          <w:szCs w:val="24"/>
        </w:rPr>
        <w:t>H</w:t>
      </w:r>
      <w:r w:rsidRPr="00E4052D">
        <w:rPr>
          <w:szCs w:val="24"/>
          <w:vertAlign w:val="subscript"/>
        </w:rPr>
        <w:t>2</w:t>
      </w:r>
      <w:r w:rsidRPr="00E4052D">
        <w:rPr>
          <w:szCs w:val="24"/>
        </w:rPr>
        <w:t>SO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 → …………………………….</w:t>
      </w:r>
    </w:p>
    <w:p w:rsidR="0011527F" w:rsidRDefault="0011527F" w:rsidP="0011527F">
      <w:pPr>
        <w:pStyle w:val="Odstavecseseznamem"/>
        <w:spacing w:before="120"/>
        <w:ind w:left="357"/>
        <w:rPr>
          <w:i/>
          <w:color w:val="5B9BD5" w:themeColor="accent1"/>
          <w:szCs w:val="24"/>
          <w:vertAlign w:val="subscript"/>
        </w:rPr>
      </w:pPr>
      <w:r>
        <w:rPr>
          <w:szCs w:val="24"/>
        </w:rPr>
        <w:t xml:space="preserve">Cu + 2 </w:t>
      </w:r>
      <w:r w:rsidRPr="00E4052D">
        <w:rPr>
          <w:szCs w:val="24"/>
        </w:rPr>
        <w:t>H</w:t>
      </w:r>
      <w:r w:rsidRPr="00E4052D">
        <w:rPr>
          <w:szCs w:val="24"/>
          <w:vertAlign w:val="subscript"/>
        </w:rPr>
        <w:t>2</w:t>
      </w:r>
      <w:r w:rsidRPr="00E4052D">
        <w:rPr>
          <w:szCs w:val="24"/>
        </w:rPr>
        <w:t>SO</w:t>
      </w:r>
      <w:r w:rsidRPr="00E4052D">
        <w:rPr>
          <w:szCs w:val="24"/>
          <w:vertAlign w:val="subscript"/>
        </w:rPr>
        <w:t>4</w:t>
      </w:r>
      <w:r>
        <w:rPr>
          <w:szCs w:val="24"/>
        </w:rPr>
        <w:t xml:space="preserve"> → …………………………….</w:t>
      </w:r>
    </w:p>
    <w:p w:rsidR="0011527F" w:rsidRDefault="0011527F" w:rsidP="0011527F">
      <w:pPr>
        <w:pStyle w:val="Odstavecseseznamem"/>
        <w:spacing w:before="120"/>
        <w:ind w:left="357"/>
        <w:rPr>
          <w:szCs w:val="24"/>
        </w:rPr>
      </w:pPr>
    </w:p>
    <w:p w:rsidR="0011527F" w:rsidRDefault="0011527F" w:rsidP="0011527F">
      <w:pPr>
        <w:pStyle w:val="Odstavecseseznamem"/>
        <w:numPr>
          <w:ilvl w:val="0"/>
          <w:numId w:val="1"/>
        </w:numPr>
        <w:spacing w:before="120"/>
        <w:ind w:left="357" w:hanging="357"/>
        <w:rPr>
          <w:szCs w:val="24"/>
        </w:rPr>
      </w:pPr>
      <w:r>
        <w:rPr>
          <w:szCs w:val="24"/>
        </w:rPr>
        <w:t>Pomocí aplikace rozdělte následující kovy: Na, Zn, Ag, Fe,</w:t>
      </w:r>
      <w:r w:rsidRPr="00F96C61">
        <w:rPr>
          <w:szCs w:val="24"/>
        </w:rPr>
        <w:t xml:space="preserve"> </w:t>
      </w:r>
      <w:r>
        <w:rPr>
          <w:szCs w:val="24"/>
        </w:rPr>
        <w:t>Pt na základě podobnosti reakce kyseliny sírové (a) s hořčíkem (do této skupiny zařaďte též kovy, které nejprve reagují za vzniku hydroxidů) či (b) s mědí (do této skupiny zařaďte též kovy, které s kyselinou nereagují). Zapište svá zjištění:</w:t>
      </w:r>
    </w:p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(a) prvky reagující stejně jako Mg: …………………………….</w:t>
      </w:r>
    </w:p>
    <w:p w:rsidR="0011527F" w:rsidRDefault="0011527F" w:rsidP="0011527F">
      <w:pPr>
        <w:pStyle w:val="Odstavecseseznamem"/>
        <w:spacing w:before="120"/>
        <w:ind w:left="357"/>
        <w:rPr>
          <w:i/>
          <w:color w:val="5B9BD5" w:themeColor="accent1"/>
          <w:szCs w:val="24"/>
        </w:rPr>
      </w:pPr>
      <w:r>
        <w:rPr>
          <w:szCs w:val="24"/>
        </w:rPr>
        <w:t>(b) prvky reagující stejně jako Cu: …………………………….</w:t>
      </w:r>
    </w:p>
    <w:p w:rsidR="0011527F" w:rsidRDefault="0011527F" w:rsidP="0011527F">
      <w:pPr>
        <w:pStyle w:val="Odstavecseseznamem"/>
        <w:spacing w:before="120"/>
        <w:ind w:left="357"/>
        <w:rPr>
          <w:i/>
          <w:color w:val="5B9BD5" w:themeColor="accent1"/>
          <w:szCs w:val="24"/>
        </w:rPr>
      </w:pPr>
    </w:p>
    <w:p w:rsidR="0011527F" w:rsidRPr="00B87A1B" w:rsidRDefault="0011527F" w:rsidP="0011527F">
      <w:pPr>
        <w:pStyle w:val="Odstavecseseznamem"/>
        <w:numPr>
          <w:ilvl w:val="0"/>
          <w:numId w:val="1"/>
        </w:numPr>
        <w:spacing w:before="120"/>
        <w:rPr>
          <w:i/>
          <w:color w:val="5B9BD5" w:themeColor="accent1"/>
          <w:szCs w:val="24"/>
        </w:rPr>
      </w:pPr>
      <w:r w:rsidRPr="00B87A1B">
        <w:rPr>
          <w:szCs w:val="24"/>
        </w:rPr>
        <w:t>V níže uvedené řadě prvků oddělte svislými čarami prvek, který se svými vlastnostmi výrazně liší od ostatních. Jak se tento prvek nazývá?</w:t>
      </w:r>
      <w:r w:rsidRPr="00781B24">
        <w:rPr>
          <w:szCs w:val="24"/>
        </w:rPr>
        <w:t xml:space="preserve"> </w:t>
      </w:r>
      <w:r>
        <w:rPr>
          <w:szCs w:val="24"/>
        </w:rPr>
        <w:t>…………………………….</w:t>
      </w:r>
    </w:p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</w:p>
    <w:p w:rsidR="0011527F" w:rsidRDefault="0011527F" w:rsidP="0011527F">
      <w:pPr>
        <w:spacing w:before="120"/>
        <w:contextualSpacing/>
        <w:rPr>
          <w:b/>
          <w:bCs/>
          <w:sz w:val="21"/>
          <w:szCs w:val="21"/>
        </w:rPr>
      </w:pPr>
      <w:r w:rsidRPr="004D7A7B">
        <w:rPr>
          <w:b/>
          <w:bCs/>
          <w:sz w:val="21"/>
          <w:szCs w:val="21"/>
        </w:rPr>
        <w:t>Li   K   Ba   Sr   Ca   Na   Mg   Al   Mn   Zn   Cr   Fe   Co   Ni   Sn   Pb  H  Cu   Ag   Hg   Pt   Au</w:t>
      </w:r>
    </w:p>
    <w:p w:rsidR="0011527F" w:rsidRDefault="0011527F" w:rsidP="0011527F">
      <w:pPr>
        <w:spacing w:before="120"/>
        <w:contextualSpacing/>
        <w:rPr>
          <w:b/>
          <w:bCs/>
          <w:sz w:val="21"/>
          <w:szCs w:val="21"/>
        </w:rPr>
      </w:pPr>
    </w:p>
    <w:p w:rsidR="0011527F" w:rsidRPr="00D8286D" w:rsidRDefault="0011527F" w:rsidP="0011527F">
      <w:pPr>
        <w:pStyle w:val="Odstavecseseznamem"/>
        <w:numPr>
          <w:ilvl w:val="0"/>
          <w:numId w:val="1"/>
        </w:numPr>
        <w:spacing w:before="120"/>
        <w:rPr>
          <w:szCs w:val="24"/>
        </w:rPr>
      </w:pPr>
      <w:r w:rsidRPr="00D8286D">
        <w:rPr>
          <w:szCs w:val="24"/>
        </w:rPr>
        <w:t xml:space="preserve">Ve výše uvedené řadě prvků následně </w:t>
      </w:r>
      <w:r w:rsidRPr="00EE1645">
        <w:rPr>
          <w:szCs w:val="24"/>
        </w:rPr>
        <w:t xml:space="preserve">zakroužkujte </w:t>
      </w:r>
      <w:r>
        <w:rPr>
          <w:szCs w:val="24"/>
        </w:rPr>
        <w:t xml:space="preserve">hořčík a </w:t>
      </w:r>
      <w:r w:rsidRPr="00D8286D">
        <w:rPr>
          <w:szCs w:val="24"/>
        </w:rPr>
        <w:t xml:space="preserve">kovy, které reagovaly stejně jako </w:t>
      </w:r>
      <w:r>
        <w:rPr>
          <w:szCs w:val="24"/>
        </w:rPr>
        <w:t>hořčík. S</w:t>
      </w:r>
      <w:r w:rsidRPr="00D8286D">
        <w:rPr>
          <w:szCs w:val="24"/>
        </w:rPr>
        <w:t xml:space="preserve"> využitím jiné barvy zakroužkujte </w:t>
      </w:r>
      <w:r>
        <w:rPr>
          <w:szCs w:val="24"/>
        </w:rPr>
        <w:t xml:space="preserve">měď a </w:t>
      </w:r>
      <w:r w:rsidRPr="00D8286D">
        <w:rPr>
          <w:szCs w:val="24"/>
        </w:rPr>
        <w:t xml:space="preserve">kovy, které reagovaly </w:t>
      </w:r>
      <w:r>
        <w:rPr>
          <w:szCs w:val="24"/>
        </w:rPr>
        <w:t xml:space="preserve">stejně </w:t>
      </w:r>
      <w:r w:rsidRPr="00D8286D">
        <w:rPr>
          <w:szCs w:val="24"/>
        </w:rPr>
        <w:t xml:space="preserve">jako </w:t>
      </w:r>
      <w:r>
        <w:rPr>
          <w:szCs w:val="24"/>
        </w:rPr>
        <w:t>měď</w:t>
      </w:r>
      <w:r w:rsidRPr="00D8286D">
        <w:rPr>
          <w:szCs w:val="24"/>
        </w:rPr>
        <w:t>.</w:t>
      </w:r>
    </w:p>
    <w:p w:rsidR="0011527F" w:rsidRPr="00B02217" w:rsidRDefault="0011527F" w:rsidP="0011527F">
      <w:pPr>
        <w:pStyle w:val="Odstavecseseznamem"/>
        <w:spacing w:before="120"/>
        <w:ind w:left="357"/>
      </w:pPr>
    </w:p>
    <w:p w:rsidR="0011527F" w:rsidRPr="00230EC0" w:rsidRDefault="0011527F" w:rsidP="0011527F">
      <w:pPr>
        <w:pStyle w:val="Odstavecseseznamem"/>
        <w:numPr>
          <w:ilvl w:val="0"/>
          <w:numId w:val="1"/>
        </w:numPr>
        <w:spacing w:before="120"/>
        <w:ind w:left="357" w:hanging="357"/>
        <w:rPr>
          <w:i/>
          <w:color w:val="5B9BD5" w:themeColor="accent1"/>
          <w:szCs w:val="24"/>
        </w:rPr>
      </w:pPr>
      <w:r w:rsidRPr="00230EC0">
        <w:rPr>
          <w:szCs w:val="24"/>
        </w:rPr>
        <w:t>Pokuste se svými slovy zformulovat souvislost mezi Vaším dosavadním pozorováním a</w:t>
      </w:r>
      <w:r>
        <w:rPr>
          <w:szCs w:val="24"/>
        </w:rPr>
        <w:t> </w:t>
      </w:r>
      <w:r w:rsidRPr="00230EC0">
        <w:rPr>
          <w:szCs w:val="24"/>
        </w:rPr>
        <w:t>touto</w:t>
      </w:r>
      <w:r>
        <w:rPr>
          <w:szCs w:val="24"/>
        </w:rPr>
        <w:t> </w:t>
      </w:r>
      <w:r w:rsidRPr="00230EC0">
        <w:rPr>
          <w:szCs w:val="24"/>
        </w:rPr>
        <w:t>řadou</w:t>
      </w:r>
      <w:r>
        <w:rPr>
          <w:szCs w:val="24"/>
        </w:rPr>
        <w:t> </w:t>
      </w:r>
      <w:r w:rsidRPr="00230EC0">
        <w:rPr>
          <w:szCs w:val="24"/>
        </w:rPr>
        <w:t>prvků:</w:t>
      </w:r>
      <w:r>
        <w:rPr>
          <w:szCs w:val="24"/>
        </w:rPr>
        <w:t> …………………………………………………………………………………………………………………………………………………………...</w:t>
      </w:r>
    </w:p>
    <w:p w:rsidR="0011527F" w:rsidRPr="00EE1645" w:rsidRDefault="0011527F" w:rsidP="0011527F">
      <w:pPr>
        <w:pStyle w:val="Odstavecseseznamem"/>
        <w:spacing w:before="120"/>
        <w:ind w:left="357"/>
        <w:rPr>
          <w:i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5617C8" wp14:editId="41DB1DC3">
            <wp:simplePos x="0" y="0"/>
            <wp:positionH relativeFrom="margin">
              <wp:posOffset>4327525</wp:posOffset>
            </wp:positionH>
            <wp:positionV relativeFrom="margin">
              <wp:posOffset>7405370</wp:posOffset>
            </wp:positionV>
            <wp:extent cx="1098550" cy="1098550"/>
            <wp:effectExtent l="0" t="0" r="6350" b="6350"/>
            <wp:wrapSquare wrapText="bothSides"/>
            <wp:docPr id="466" name="Obrázek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27F" w:rsidRPr="00B87A1B" w:rsidRDefault="0011527F" w:rsidP="0011527F">
      <w:pPr>
        <w:pStyle w:val="Odstavecseseznamem"/>
        <w:numPr>
          <w:ilvl w:val="0"/>
          <w:numId w:val="1"/>
        </w:numPr>
        <w:spacing w:before="120"/>
        <w:rPr>
          <w:rFonts w:eastAsia="Calibri" w:cs="Times New Roman"/>
          <w:b/>
          <w:iCs/>
          <w:color w:val="5B9BD5" w:themeColor="accent1"/>
          <w:szCs w:val="24"/>
        </w:rPr>
      </w:pPr>
      <w:r w:rsidRPr="00B87A1B">
        <w:rPr>
          <w:szCs w:val="24"/>
        </w:rPr>
        <w:t>Nalezněte, jak se tato řada jmenuje a jak se dle postavení v této řadě nazývají příslušné skupiny kovů. (Můžete využít následující QR</w:t>
      </w:r>
      <w:r>
        <w:rPr>
          <w:szCs w:val="24"/>
        </w:rPr>
        <w:t> </w:t>
      </w:r>
      <w:r w:rsidRPr="00B87A1B">
        <w:rPr>
          <w:szCs w:val="24"/>
        </w:rPr>
        <w:t>kód.)</w:t>
      </w:r>
      <w:r w:rsidRPr="00230EC0">
        <w:t xml:space="preserve"> </w:t>
      </w:r>
      <w:r>
        <w:t>…………………………………………………………………...</w:t>
      </w:r>
    </w:p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………………………………………………………………………………………</w:t>
      </w:r>
    </w:p>
    <w:p w:rsidR="0011527F" w:rsidRDefault="0011527F" w:rsidP="0011527F">
      <w:pPr>
        <w:pStyle w:val="Odstavecseseznamem"/>
        <w:numPr>
          <w:ilvl w:val="0"/>
          <w:numId w:val="1"/>
        </w:numPr>
        <w:spacing w:before="120"/>
        <w:rPr>
          <w:szCs w:val="24"/>
        </w:rPr>
      </w:pPr>
      <w:r w:rsidRPr="00E54434">
        <w:rPr>
          <w:szCs w:val="24"/>
        </w:rPr>
        <w:lastRenderedPageBreak/>
        <w:t>Odhadněte, jak budou reagovat uvedené kovy s</w:t>
      </w:r>
      <w:r>
        <w:rPr>
          <w:szCs w:val="24"/>
        </w:rPr>
        <w:t> kyselinou sírovou</w:t>
      </w:r>
      <w:r w:rsidRPr="00E54434">
        <w:rPr>
          <w:szCs w:val="24"/>
        </w:rPr>
        <w:t xml:space="preserve">. Svoji hypotézu </w:t>
      </w:r>
      <w:r>
        <w:rPr>
          <w:szCs w:val="24"/>
        </w:rPr>
        <w:t xml:space="preserve">s využitím aplikace Beaker </w:t>
      </w:r>
      <w:r w:rsidRPr="00E54434">
        <w:rPr>
          <w:szCs w:val="24"/>
        </w:rPr>
        <w:t>ověřte.</w:t>
      </w:r>
      <w:r w:rsidRPr="00D8286D">
        <w:rPr>
          <w:szCs w:val="24"/>
        </w:rPr>
        <w:t xml:space="preserve"> </w:t>
      </w:r>
      <w:r>
        <w:rPr>
          <w:szCs w:val="24"/>
        </w:rPr>
        <w:t>Uveďte, zda</w:t>
      </w:r>
      <w:r w:rsidRPr="00E54434">
        <w:rPr>
          <w:szCs w:val="24"/>
        </w:rPr>
        <w:t xml:space="preserve"> se</w:t>
      </w:r>
      <w:r>
        <w:rPr>
          <w:szCs w:val="24"/>
        </w:rPr>
        <w:t xml:space="preserve"> jedná</w:t>
      </w:r>
      <w:r w:rsidRPr="00E54434">
        <w:rPr>
          <w:szCs w:val="24"/>
        </w:rPr>
        <w:t xml:space="preserve"> o ušlechtilý či neušlechtilý kov</w:t>
      </w:r>
      <w:r>
        <w:rPr>
          <w:szCs w:val="24"/>
        </w:rPr>
        <w:t>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631"/>
        <w:gridCol w:w="2265"/>
        <w:gridCol w:w="3685"/>
        <w:gridCol w:w="1552"/>
      </w:tblGrid>
      <w:tr w:rsidR="0011527F" w:rsidRPr="00D8286D" w:rsidTr="00B240CF">
        <w:tc>
          <w:tcPr>
            <w:tcW w:w="631" w:type="dxa"/>
            <w:vAlign w:val="center"/>
          </w:tcPr>
          <w:p w:rsidR="0011527F" w:rsidRPr="008E1227" w:rsidRDefault="0011527F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Kov</w:t>
            </w:r>
          </w:p>
        </w:tc>
        <w:tc>
          <w:tcPr>
            <w:tcW w:w="2265" w:type="dxa"/>
            <w:vAlign w:val="center"/>
          </w:tcPr>
          <w:p w:rsidR="0011527F" w:rsidRPr="008E1227" w:rsidRDefault="0011527F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Můj odhad co vznikne</w:t>
            </w:r>
          </w:p>
        </w:tc>
        <w:tc>
          <w:tcPr>
            <w:tcW w:w="3685" w:type="dxa"/>
            <w:vAlign w:val="center"/>
          </w:tcPr>
          <w:p w:rsidR="0011527F" w:rsidRPr="008E1227" w:rsidRDefault="0011527F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Ověření pomocí aplikace</w:t>
            </w:r>
          </w:p>
        </w:tc>
        <w:tc>
          <w:tcPr>
            <w:tcW w:w="1552" w:type="dxa"/>
            <w:vAlign w:val="center"/>
          </w:tcPr>
          <w:p w:rsidR="0011527F" w:rsidRPr="008E1227" w:rsidRDefault="0011527F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Ušlechtilý/</w:t>
            </w:r>
          </w:p>
          <w:p w:rsidR="0011527F" w:rsidRPr="008E1227" w:rsidRDefault="0011527F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neušlechtilý</w:t>
            </w:r>
          </w:p>
          <w:p w:rsidR="0011527F" w:rsidRPr="008E1227" w:rsidRDefault="0011527F" w:rsidP="00B240CF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8E1227">
              <w:rPr>
                <w:sz w:val="22"/>
                <w:szCs w:val="20"/>
              </w:rPr>
              <w:t>kov</w:t>
            </w:r>
          </w:p>
        </w:tc>
      </w:tr>
      <w:tr w:rsidR="0011527F" w:rsidRPr="00D8286D" w:rsidTr="00B240CF">
        <w:tc>
          <w:tcPr>
            <w:tcW w:w="631" w:type="dxa"/>
            <w:vAlign w:val="center"/>
          </w:tcPr>
          <w:p w:rsidR="0011527F" w:rsidRPr="00EE1645" w:rsidRDefault="0011527F" w:rsidP="00B240CF">
            <w:pPr>
              <w:pStyle w:val="Odstavecseseznamem"/>
              <w:spacing w:before="120"/>
              <w:ind w:left="0"/>
              <w:contextualSpacing w:val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K</w:t>
            </w:r>
          </w:p>
        </w:tc>
        <w:tc>
          <w:tcPr>
            <w:tcW w:w="2265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11527F" w:rsidRPr="00EE1645" w:rsidRDefault="0011527F" w:rsidP="00B240CF">
            <w:pPr>
              <w:spacing w:before="120" w:line="240" w:lineRule="auto"/>
              <w:contextualSpacing/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</w:p>
        </w:tc>
      </w:tr>
      <w:tr w:rsidR="0011527F" w:rsidRPr="00D8286D" w:rsidTr="00B240CF">
        <w:tc>
          <w:tcPr>
            <w:tcW w:w="631" w:type="dxa"/>
            <w:vAlign w:val="center"/>
          </w:tcPr>
          <w:p w:rsidR="0011527F" w:rsidRPr="00EE1645" w:rsidRDefault="0011527F" w:rsidP="00B240CF">
            <w:pPr>
              <w:pStyle w:val="Odstavecseseznamem"/>
              <w:spacing w:before="120"/>
              <w:ind w:left="0"/>
              <w:contextualSpacing w:val="0"/>
              <w:jc w:val="left"/>
              <w:rPr>
                <w:bCs/>
                <w:sz w:val="22"/>
              </w:rPr>
            </w:pPr>
            <w:r w:rsidRPr="00EE1645">
              <w:rPr>
                <w:bCs/>
                <w:sz w:val="22"/>
              </w:rPr>
              <w:t>Ba</w:t>
            </w:r>
          </w:p>
        </w:tc>
        <w:tc>
          <w:tcPr>
            <w:tcW w:w="2265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11527F" w:rsidRPr="00EE1645" w:rsidRDefault="0011527F" w:rsidP="00B240CF">
            <w:pPr>
              <w:spacing w:before="120" w:line="240" w:lineRule="auto"/>
              <w:contextualSpacing/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</w:p>
        </w:tc>
      </w:tr>
      <w:tr w:rsidR="0011527F" w:rsidRPr="00D8286D" w:rsidTr="00B240CF">
        <w:tc>
          <w:tcPr>
            <w:tcW w:w="631" w:type="dxa"/>
            <w:vAlign w:val="center"/>
          </w:tcPr>
          <w:p w:rsidR="0011527F" w:rsidRPr="00EE1645" w:rsidRDefault="0011527F" w:rsidP="00B240CF">
            <w:pPr>
              <w:pStyle w:val="Odstavecseseznamem"/>
              <w:spacing w:before="120"/>
              <w:ind w:left="0"/>
              <w:contextualSpacing w:val="0"/>
              <w:jc w:val="left"/>
              <w:rPr>
                <w:sz w:val="22"/>
              </w:rPr>
            </w:pPr>
            <w:r w:rsidRPr="00EE1645">
              <w:rPr>
                <w:sz w:val="22"/>
              </w:rPr>
              <w:t>Al</w:t>
            </w:r>
          </w:p>
        </w:tc>
        <w:tc>
          <w:tcPr>
            <w:tcW w:w="2265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11527F" w:rsidRPr="00EE1645" w:rsidRDefault="0011527F" w:rsidP="00B240CF">
            <w:pPr>
              <w:spacing w:before="120" w:line="240" w:lineRule="auto"/>
              <w:contextualSpacing/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</w:p>
        </w:tc>
      </w:tr>
      <w:tr w:rsidR="0011527F" w:rsidRPr="00D8286D" w:rsidTr="00B240CF">
        <w:tc>
          <w:tcPr>
            <w:tcW w:w="631" w:type="dxa"/>
            <w:vAlign w:val="center"/>
          </w:tcPr>
          <w:p w:rsidR="0011527F" w:rsidRPr="00EE1645" w:rsidRDefault="0011527F" w:rsidP="00B240CF">
            <w:pPr>
              <w:pStyle w:val="Odstavecseseznamem"/>
              <w:spacing w:before="120"/>
              <w:ind w:left="0"/>
              <w:contextualSpacing w:val="0"/>
              <w:jc w:val="left"/>
              <w:rPr>
                <w:sz w:val="22"/>
              </w:rPr>
            </w:pPr>
            <w:r w:rsidRPr="00EE1645">
              <w:rPr>
                <w:sz w:val="22"/>
              </w:rPr>
              <w:t>Au</w:t>
            </w:r>
          </w:p>
        </w:tc>
        <w:tc>
          <w:tcPr>
            <w:tcW w:w="2265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11527F" w:rsidRPr="00EE1645" w:rsidRDefault="0011527F" w:rsidP="00B240CF">
            <w:pPr>
              <w:spacing w:before="120"/>
              <w:contextualSpacing/>
              <w:jc w:val="left"/>
              <w:rPr>
                <w:i/>
                <w:color w:val="5B9BD5" w:themeColor="accent1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11527F" w:rsidRPr="00EE1645" w:rsidRDefault="0011527F" w:rsidP="00B240CF">
            <w:pPr>
              <w:spacing w:before="120"/>
              <w:jc w:val="left"/>
              <w:rPr>
                <w:i/>
                <w:color w:val="5B9BD5" w:themeColor="accent1"/>
                <w:sz w:val="22"/>
              </w:rPr>
            </w:pPr>
          </w:p>
        </w:tc>
      </w:tr>
    </w:tbl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</w:p>
    <w:p w:rsidR="0011527F" w:rsidRPr="00592895" w:rsidRDefault="0011527F" w:rsidP="0011527F">
      <w:pPr>
        <w:pStyle w:val="Odstavecseseznamem"/>
        <w:numPr>
          <w:ilvl w:val="0"/>
          <w:numId w:val="1"/>
        </w:numPr>
        <w:spacing w:before="120"/>
        <w:rPr>
          <w:b/>
          <w:bCs/>
          <w:szCs w:val="24"/>
        </w:rPr>
      </w:pPr>
      <w:r w:rsidRPr="00592895">
        <w:rPr>
          <w:b/>
          <w:bCs/>
          <w:szCs w:val="24"/>
        </w:rPr>
        <w:t>*</w:t>
      </w:r>
      <w:r>
        <w:rPr>
          <w:b/>
          <w:bCs/>
          <w:szCs w:val="24"/>
        </w:rPr>
        <w:t xml:space="preserve"> </w:t>
      </w:r>
      <w:r w:rsidRPr="00592895">
        <w:rPr>
          <w:szCs w:val="24"/>
        </w:rPr>
        <w:t>Navrhněte, jak budou obecně reagovat kovy s kyselinou chlorovodíkovou. Své návrhy následně ověřte pomocí aplikace Beaker (můžete využít tabulku níže). Na základě ověření své návrhy upravte.</w:t>
      </w:r>
    </w:p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neušlechtilé kovy (např. ………………..):</w:t>
      </w:r>
    </w:p>
    <w:p w:rsidR="0011527F" w:rsidRPr="0080598F" w:rsidRDefault="0011527F" w:rsidP="0011527F">
      <w:pPr>
        <w:pStyle w:val="Odstavecseseznamem"/>
        <w:spacing w:before="120"/>
        <w:ind w:left="360"/>
        <w:rPr>
          <w:rFonts w:eastAsia="Calibri" w:cs="Times New Roman"/>
          <w:szCs w:val="24"/>
        </w:rPr>
      </w:pPr>
      <w:r w:rsidRPr="0080598F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  <w:r>
        <w:rPr>
          <w:szCs w:val="24"/>
        </w:rPr>
        <w:t>ušlechtilé kovy (např. ………………..):</w:t>
      </w:r>
    </w:p>
    <w:p w:rsidR="0011527F" w:rsidRPr="0080598F" w:rsidRDefault="0011527F" w:rsidP="0011527F">
      <w:pPr>
        <w:pStyle w:val="Odstavecseseznamem"/>
        <w:spacing w:before="120"/>
        <w:ind w:left="360"/>
        <w:rPr>
          <w:rFonts w:eastAsia="Calibri" w:cs="Times New Roman"/>
          <w:szCs w:val="24"/>
        </w:rPr>
      </w:pPr>
      <w:r w:rsidRPr="0080598F"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1527F" w:rsidRDefault="0011527F" w:rsidP="0011527F">
      <w:pPr>
        <w:pStyle w:val="Odstavecseseznamem"/>
        <w:spacing w:before="120"/>
        <w:ind w:left="360"/>
        <w:rPr>
          <w:szCs w:val="24"/>
        </w:rPr>
      </w:pPr>
    </w:p>
    <w:tbl>
      <w:tblPr>
        <w:tblStyle w:val="Mkatabulky"/>
        <w:tblW w:w="8140" w:type="dxa"/>
        <w:tblInd w:w="360" w:type="dxa"/>
        <w:tblLook w:val="04A0" w:firstRow="1" w:lastRow="0" w:firstColumn="1" w:lastColumn="0" w:noHBand="0" w:noVBand="1"/>
      </w:tblPr>
      <w:tblGrid>
        <w:gridCol w:w="791"/>
        <w:gridCol w:w="2909"/>
        <w:gridCol w:w="4440"/>
      </w:tblGrid>
      <w:tr w:rsidR="0011527F" w:rsidRPr="001D6FF6" w:rsidTr="00B240CF">
        <w:tc>
          <w:tcPr>
            <w:tcW w:w="791" w:type="dxa"/>
          </w:tcPr>
          <w:p w:rsidR="0011527F" w:rsidRPr="001D6FF6" w:rsidRDefault="0011527F" w:rsidP="00B240CF">
            <w:pPr>
              <w:pStyle w:val="Odstavecseseznamem"/>
              <w:spacing w:before="120"/>
              <w:ind w:left="0"/>
              <w:contextualSpacing w:val="0"/>
              <w:rPr>
                <w:sz w:val="22"/>
              </w:rPr>
            </w:pPr>
            <w:r w:rsidRPr="001D6FF6">
              <w:rPr>
                <w:sz w:val="22"/>
              </w:rPr>
              <w:t>Kov</w:t>
            </w:r>
          </w:p>
        </w:tc>
        <w:tc>
          <w:tcPr>
            <w:tcW w:w="2909" w:type="dxa"/>
          </w:tcPr>
          <w:p w:rsidR="0011527F" w:rsidRPr="001D6FF6" w:rsidRDefault="0011527F" w:rsidP="00B240CF">
            <w:pPr>
              <w:pStyle w:val="Odstavecseseznamem"/>
              <w:spacing w:before="120" w:line="240" w:lineRule="auto"/>
              <w:ind w:left="0"/>
              <w:contextualSpacing w:val="0"/>
              <w:rPr>
                <w:sz w:val="22"/>
              </w:rPr>
            </w:pPr>
            <w:r w:rsidRPr="001D6FF6">
              <w:rPr>
                <w:sz w:val="22"/>
              </w:rPr>
              <w:t>Můj odhad co vznikne</w:t>
            </w:r>
          </w:p>
        </w:tc>
        <w:tc>
          <w:tcPr>
            <w:tcW w:w="4440" w:type="dxa"/>
          </w:tcPr>
          <w:p w:rsidR="0011527F" w:rsidRPr="001D6FF6" w:rsidRDefault="0011527F" w:rsidP="00B240CF">
            <w:pPr>
              <w:pStyle w:val="Odstavecseseznamem"/>
              <w:spacing w:before="120" w:line="240" w:lineRule="auto"/>
              <w:ind w:left="0"/>
              <w:contextualSpacing w:val="0"/>
              <w:rPr>
                <w:sz w:val="22"/>
              </w:rPr>
            </w:pPr>
            <w:r w:rsidRPr="001D6FF6">
              <w:rPr>
                <w:sz w:val="22"/>
              </w:rPr>
              <w:t>Ověření pomocí aplikace</w:t>
            </w:r>
          </w:p>
        </w:tc>
      </w:tr>
      <w:tr w:rsidR="0011527F" w:rsidRPr="001D6FF6" w:rsidTr="00B240CF">
        <w:tc>
          <w:tcPr>
            <w:tcW w:w="791" w:type="dxa"/>
            <w:vAlign w:val="center"/>
          </w:tcPr>
          <w:p w:rsidR="0011527F" w:rsidRPr="001D6FF6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  <w:tr w:rsidR="0011527F" w:rsidRPr="001D6FF6" w:rsidTr="00B240CF">
        <w:tc>
          <w:tcPr>
            <w:tcW w:w="791" w:type="dxa"/>
            <w:vAlign w:val="center"/>
          </w:tcPr>
          <w:p w:rsidR="0011527F" w:rsidRPr="001D6FF6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Mg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  <w:tr w:rsidR="0011527F" w:rsidRPr="001D6FF6" w:rsidTr="00B240CF">
        <w:tc>
          <w:tcPr>
            <w:tcW w:w="791" w:type="dxa"/>
            <w:vAlign w:val="center"/>
          </w:tcPr>
          <w:p w:rsidR="0011527F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Al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  <w:tr w:rsidR="0011527F" w:rsidRPr="001D6FF6" w:rsidTr="00B240CF">
        <w:trPr>
          <w:trHeight w:val="243"/>
        </w:trPr>
        <w:tc>
          <w:tcPr>
            <w:tcW w:w="791" w:type="dxa"/>
            <w:vAlign w:val="center"/>
          </w:tcPr>
          <w:p w:rsidR="0011527F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  <w:tr w:rsidR="0011527F" w:rsidRPr="001D6FF6" w:rsidTr="00B240CF">
        <w:trPr>
          <w:trHeight w:val="243"/>
        </w:trPr>
        <w:tc>
          <w:tcPr>
            <w:tcW w:w="791" w:type="dxa"/>
            <w:vAlign w:val="center"/>
          </w:tcPr>
          <w:p w:rsidR="0011527F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Cu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  <w:tr w:rsidR="0011527F" w:rsidRPr="001D6FF6" w:rsidTr="00B240CF">
        <w:trPr>
          <w:trHeight w:val="243"/>
        </w:trPr>
        <w:tc>
          <w:tcPr>
            <w:tcW w:w="791" w:type="dxa"/>
            <w:vAlign w:val="center"/>
          </w:tcPr>
          <w:p w:rsidR="0011527F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Ag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  <w:tr w:rsidR="0011527F" w:rsidRPr="001D6FF6" w:rsidTr="00B240CF">
        <w:trPr>
          <w:trHeight w:val="243"/>
        </w:trPr>
        <w:tc>
          <w:tcPr>
            <w:tcW w:w="791" w:type="dxa"/>
            <w:vAlign w:val="center"/>
          </w:tcPr>
          <w:p w:rsidR="0011527F" w:rsidRDefault="0011527F" w:rsidP="00B240CF">
            <w:pPr>
              <w:pStyle w:val="Odstavecseseznamem"/>
              <w:spacing w:before="12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Pt</w:t>
            </w:r>
          </w:p>
        </w:tc>
        <w:tc>
          <w:tcPr>
            <w:tcW w:w="2909" w:type="dxa"/>
            <w:vAlign w:val="center"/>
          </w:tcPr>
          <w:p w:rsidR="0011527F" w:rsidRPr="001D6FF6" w:rsidRDefault="0011527F" w:rsidP="00B240CF">
            <w:pPr>
              <w:spacing w:before="120"/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  <w:tc>
          <w:tcPr>
            <w:tcW w:w="4440" w:type="dxa"/>
            <w:vAlign w:val="center"/>
          </w:tcPr>
          <w:p w:rsidR="0011527F" w:rsidRPr="00781B24" w:rsidRDefault="0011527F" w:rsidP="00B240CF">
            <w:pPr>
              <w:jc w:val="left"/>
              <w:rPr>
                <w:bCs/>
                <w:i/>
                <w:color w:val="5B9BD5" w:themeColor="accent1"/>
                <w:sz w:val="22"/>
              </w:rPr>
            </w:pPr>
          </w:p>
        </w:tc>
      </w:tr>
    </w:tbl>
    <w:p w:rsidR="005C309C" w:rsidRDefault="005C309C">
      <w:bookmarkStart w:id="0" w:name="_GoBack"/>
      <w:bookmarkEnd w:id="0"/>
    </w:p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7D3A"/>
    <w:multiLevelType w:val="hybridMultilevel"/>
    <w:tmpl w:val="D5E4495A"/>
    <w:lvl w:ilvl="0" w:tplc="BA84E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F"/>
    <w:rsid w:val="0011527F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A9259-438F-4016-B87C-B2D2072B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27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27F"/>
    <w:pPr>
      <w:ind w:left="720"/>
      <w:contextualSpacing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11527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Mkatabulky">
    <w:name w:val="Table Grid"/>
    <w:basedOn w:val="Normlntabulka"/>
    <w:uiPriority w:val="39"/>
    <w:rsid w:val="0011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basedOn w:val="Standardnpsmoodstavce"/>
    <w:link w:val="Titulek"/>
    <w:uiPriority w:val="35"/>
    <w:rsid w:val="0011527F"/>
    <w:rPr>
      <w:rFonts w:ascii="Times New Roman" w:hAnsi="Times New Roman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2021-09-30T10:26:00Z</dcterms:created>
  <dcterms:modified xsi:type="dcterms:W3CDTF">2021-09-30T10:26:00Z</dcterms:modified>
</cp:coreProperties>
</file>