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9A2C0" w14:textId="16D3A8DE" w:rsidR="00F069C6" w:rsidRDefault="00F069C6" w:rsidP="00F069C6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96"/>
          <w:szCs w:val="96"/>
        </w:rPr>
      </w:pPr>
      <w:r>
        <w:rPr>
          <w:sz w:val="96"/>
          <w:szCs w:val="96"/>
        </w:rPr>
        <w:t>Struktura glukosy</w:t>
      </w:r>
    </w:p>
    <w:p w14:paraId="48198A18" w14:textId="3E369FF4" w:rsidR="00F069C6" w:rsidRPr="00F069C6" w:rsidRDefault="00F069C6" w:rsidP="00F069C6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56"/>
          <w:szCs w:val="56"/>
        </w:rPr>
      </w:pPr>
      <w:r w:rsidRPr="00F069C6">
        <w:rPr>
          <w:sz w:val="56"/>
          <w:szCs w:val="56"/>
        </w:rPr>
        <w:t>-</w:t>
      </w:r>
    </w:p>
    <w:p w14:paraId="5AC7CDFF" w14:textId="50A33832" w:rsidR="00F069C6" w:rsidRPr="00F069C6" w:rsidRDefault="00F069C6" w:rsidP="00F069C6">
      <w:pPr>
        <w:pStyle w:val="Normlnweb"/>
        <w:shd w:val="clear" w:color="auto" w:fill="FFFFFF"/>
        <w:spacing w:before="0" w:beforeAutospacing="0" w:after="240" w:afterAutospacing="0"/>
        <w:jc w:val="center"/>
        <w:rPr>
          <w:sz w:val="56"/>
          <w:szCs w:val="56"/>
        </w:rPr>
      </w:pPr>
      <w:r w:rsidRPr="00F069C6">
        <w:rPr>
          <w:sz w:val="56"/>
          <w:szCs w:val="56"/>
        </w:rPr>
        <w:t>metodické pokyny k animacím</w:t>
      </w:r>
    </w:p>
    <w:p w14:paraId="03857BC4" w14:textId="77777777" w:rsidR="00F069C6" w:rsidRPr="006957A3" w:rsidRDefault="00F069C6" w:rsidP="00F069C6">
      <w:pPr>
        <w:pStyle w:val="Normlnweb"/>
        <w:shd w:val="clear" w:color="auto" w:fill="FFFFFF"/>
        <w:spacing w:before="0" w:beforeAutospacing="0" w:after="240" w:afterAutospacing="0"/>
        <w:jc w:val="center"/>
      </w:pPr>
    </w:p>
    <w:p w14:paraId="32E9C3C7" w14:textId="154E328C" w:rsidR="00F069C6" w:rsidRPr="006957A3" w:rsidRDefault="00F069C6" w:rsidP="00F069C6">
      <w:pPr>
        <w:pStyle w:val="Normlnweb"/>
        <w:shd w:val="clear" w:color="auto" w:fill="FFFFFF"/>
        <w:spacing w:before="0" w:beforeAutospacing="0" w:after="240" w:afterAutospacing="0"/>
        <w:jc w:val="center"/>
      </w:pPr>
      <w:r w:rsidRPr="006957A3">
        <w:t>  </w:t>
      </w:r>
    </w:p>
    <w:p w14:paraId="4D087E43" w14:textId="77777777" w:rsidR="00F069C6" w:rsidRPr="006957A3" w:rsidRDefault="00F069C6" w:rsidP="00F069C6">
      <w:pPr>
        <w:pStyle w:val="Normlnweb"/>
        <w:shd w:val="clear" w:color="auto" w:fill="FFFFFF"/>
        <w:spacing w:before="0" w:beforeAutospacing="0" w:after="240" w:afterAutospacing="0"/>
        <w:jc w:val="center"/>
      </w:pPr>
      <w:r w:rsidRPr="006957A3">
        <w:t> </w:t>
      </w:r>
    </w:p>
    <w:p w14:paraId="59E0A96E" w14:textId="77777777" w:rsidR="00F069C6" w:rsidRDefault="00F069C6" w:rsidP="00F069C6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sz w:val="48"/>
          <w:szCs w:val="48"/>
        </w:rPr>
      </w:pPr>
    </w:p>
    <w:p w14:paraId="1AD0B9AE" w14:textId="77777777" w:rsidR="00F069C6" w:rsidRPr="004E5BBA" w:rsidRDefault="00F069C6" w:rsidP="00F069C6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sz w:val="48"/>
          <w:szCs w:val="48"/>
          <w:u w:val="single"/>
        </w:rPr>
      </w:pPr>
      <w:r w:rsidRPr="004E5BBA">
        <w:rPr>
          <w:rStyle w:val="Siln"/>
          <w:sz w:val="48"/>
          <w:szCs w:val="48"/>
          <w:u w:val="single"/>
        </w:rPr>
        <w:t>Hana Josífková</w:t>
      </w:r>
    </w:p>
    <w:p w14:paraId="546FFE15" w14:textId="77777777" w:rsidR="00F069C6" w:rsidRDefault="00F069C6" w:rsidP="00F069C6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sz w:val="48"/>
          <w:szCs w:val="48"/>
        </w:rPr>
      </w:pPr>
      <w:r w:rsidRPr="004E5BBA">
        <w:rPr>
          <w:rStyle w:val="Siln"/>
          <w:sz w:val="48"/>
          <w:szCs w:val="48"/>
        </w:rPr>
        <w:t xml:space="preserve"> </w:t>
      </w:r>
    </w:p>
    <w:p w14:paraId="67735C78" w14:textId="77777777" w:rsidR="00F069C6" w:rsidRDefault="00F069C6" w:rsidP="00F069C6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b w:val="0"/>
          <w:sz w:val="48"/>
          <w:szCs w:val="48"/>
        </w:rPr>
      </w:pPr>
      <w:r w:rsidRPr="004E5BBA">
        <w:rPr>
          <w:rStyle w:val="Siln"/>
          <w:sz w:val="48"/>
          <w:szCs w:val="48"/>
        </w:rPr>
        <w:t>Milada Teplá</w:t>
      </w:r>
    </w:p>
    <w:p w14:paraId="4FAF5690" w14:textId="77777777" w:rsidR="00F069C6" w:rsidRDefault="00F069C6" w:rsidP="00F069C6">
      <w:pPr>
        <w:pStyle w:val="Normlnweb"/>
        <w:shd w:val="clear" w:color="auto" w:fill="FFFFFF"/>
        <w:spacing w:before="0" w:beforeAutospacing="0" w:after="0" w:afterAutospacing="0"/>
        <w:jc w:val="center"/>
        <w:rPr>
          <w:rStyle w:val="Siln"/>
          <w:b w:val="0"/>
          <w:sz w:val="48"/>
          <w:szCs w:val="48"/>
        </w:rPr>
      </w:pPr>
    </w:p>
    <w:p w14:paraId="1498AC87" w14:textId="77777777" w:rsidR="00F069C6" w:rsidRPr="00C74BBF" w:rsidRDefault="00F069C6" w:rsidP="00F069C6">
      <w:pPr>
        <w:jc w:val="center"/>
        <w:rPr>
          <w:sz w:val="32"/>
          <w:szCs w:val="32"/>
        </w:rPr>
      </w:pPr>
      <w:r w:rsidRPr="00C74BBF">
        <w:rPr>
          <w:sz w:val="32"/>
          <w:szCs w:val="32"/>
        </w:rPr>
        <w:t xml:space="preserve">KUDCH, Přírodovědecká fakulta Univerzity Karlovy, </w:t>
      </w:r>
    </w:p>
    <w:p w14:paraId="401F8532" w14:textId="77777777" w:rsidR="00F069C6" w:rsidRPr="00C74BBF" w:rsidRDefault="00F069C6" w:rsidP="00F069C6">
      <w:pPr>
        <w:jc w:val="center"/>
        <w:rPr>
          <w:sz w:val="32"/>
          <w:szCs w:val="32"/>
        </w:rPr>
      </w:pPr>
      <w:r>
        <w:rPr>
          <w:sz w:val="32"/>
          <w:szCs w:val="32"/>
        </w:rPr>
        <w:t>Praha 2020</w:t>
      </w:r>
    </w:p>
    <w:p w14:paraId="144593F4" w14:textId="77777777" w:rsidR="00F069C6" w:rsidRDefault="00F069C6" w:rsidP="00F069C6">
      <w:pPr>
        <w:pStyle w:val="Normlnweb"/>
        <w:shd w:val="clear" w:color="auto" w:fill="FFFFFF"/>
        <w:spacing w:before="0" w:beforeAutospacing="0" w:after="0" w:afterAutospacing="0"/>
        <w:jc w:val="center"/>
      </w:pPr>
      <w:r w:rsidRPr="006957A3">
        <w:t> </w:t>
      </w:r>
    </w:p>
    <w:p w14:paraId="4C49A160" w14:textId="77777777" w:rsidR="00F069C6" w:rsidRPr="006957A3" w:rsidRDefault="00F069C6" w:rsidP="00F069C6">
      <w:pPr>
        <w:pStyle w:val="Normlnweb"/>
        <w:shd w:val="clear" w:color="auto" w:fill="FFFFFF"/>
        <w:spacing w:before="0" w:beforeAutospacing="0" w:after="240" w:afterAutospacing="0"/>
        <w:jc w:val="center"/>
      </w:pPr>
    </w:p>
    <w:p w14:paraId="3FC0C062" w14:textId="77777777" w:rsidR="00F069C6" w:rsidRPr="006957A3" w:rsidRDefault="00F069C6" w:rsidP="00F069C6">
      <w:pPr>
        <w:pStyle w:val="Normlnweb"/>
        <w:shd w:val="clear" w:color="auto" w:fill="FFFFFF"/>
        <w:spacing w:before="0" w:beforeAutospacing="0" w:after="240" w:afterAutospacing="0"/>
        <w:jc w:val="center"/>
      </w:pPr>
      <w:r w:rsidRPr="006957A3">
        <w:br w:type="page"/>
      </w:r>
      <w:bookmarkStart w:id="0" w:name="_GoBack"/>
      <w:bookmarkEnd w:id="0"/>
    </w:p>
    <w:p w14:paraId="4E86AE35" w14:textId="77777777" w:rsidR="00776A06" w:rsidRDefault="00E01BB8" w:rsidP="00E01BB8">
      <w:pPr>
        <w:ind w:firstLine="432"/>
      </w:pPr>
      <w:r w:rsidRPr="00966088">
        <w:lastRenderedPageBreak/>
        <w:t>Animace byly vytvořeny v programu Adobe Animate CC (verze 18.0.1) s podporou progra</w:t>
      </w:r>
      <w:r w:rsidR="00776A06">
        <w:t>movacího jazyka ActionScript 3.</w:t>
      </w:r>
    </w:p>
    <w:p w14:paraId="1E59E7AD" w14:textId="77777777" w:rsidR="00776A06" w:rsidRDefault="006F1CCC" w:rsidP="00776A06">
      <w:pPr>
        <w:ind w:firstLine="432"/>
      </w:pPr>
      <w:r w:rsidRPr="00966088">
        <w:t>V animacích jsou zároveň použity Fischerovy a Haworthovy vzorce glukosy a také její podoba v židličkové konformaci. Všechny uvedené vzorce byly vytvořeny v programu ChemSketch (verze 12.01).</w:t>
      </w:r>
    </w:p>
    <w:p w14:paraId="6A503663" w14:textId="7A19A5B2" w:rsidR="00F54AC3" w:rsidRPr="00966088" w:rsidRDefault="00F54AC3" w:rsidP="00776A06">
      <w:pPr>
        <w:ind w:firstLine="432"/>
      </w:pPr>
      <w:r w:rsidRPr="00966088">
        <w:t>Po kliknutí na soubor Animace1.swf, Animace2.swf nebo Animace3.swf se</w:t>
      </w:r>
      <w:r w:rsidR="000519AC">
        <w:t> </w:t>
      </w:r>
      <w:r w:rsidRPr="00966088">
        <w:t xml:space="preserve">otevře okno se zvolenou animací. </w:t>
      </w:r>
      <w:r w:rsidR="008C3ABA" w:rsidRPr="00966088">
        <w:t xml:space="preserve">Všechny animace obsahují tlačítka, díky kterým může uživatel animaci ovládat. </w:t>
      </w:r>
    </w:p>
    <w:p w14:paraId="22436209" w14:textId="77777777" w:rsidR="008C3ABA" w:rsidRPr="00966088" w:rsidRDefault="008C3ABA" w:rsidP="00F54AC3">
      <w:pPr>
        <w:contextualSpacing/>
      </w:pPr>
      <w:r w:rsidRPr="00966088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737CE66E" wp14:editId="19A1083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26720" cy="438150"/>
            <wp:effectExtent l="0" t="0" r="0" b="0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6088">
        <w:t xml:space="preserve">Tlačítko </w:t>
      </w:r>
      <w:r w:rsidRPr="00966088">
        <w:rPr>
          <w:i/>
        </w:rPr>
        <w:t>přehrát</w:t>
      </w:r>
      <w:r w:rsidRPr="00966088">
        <w:t xml:space="preserve"> – umožňuje spuštění animace při otevření souboru ve formátu</w:t>
      </w:r>
      <w:r w:rsidR="000519AC">
        <w:t xml:space="preserve"> </w:t>
      </w:r>
      <w:r w:rsidRPr="00966088">
        <w:t xml:space="preserve">*.swf, zároveň přehrává animaci po jejím zastavení tlačítkem </w:t>
      </w:r>
      <w:r w:rsidRPr="00966088">
        <w:rPr>
          <w:i/>
        </w:rPr>
        <w:t>pauza</w:t>
      </w:r>
      <w:r w:rsidRPr="00966088">
        <w:t>.</w:t>
      </w:r>
    </w:p>
    <w:p w14:paraId="0E14C698" w14:textId="77777777" w:rsidR="008C3ABA" w:rsidRDefault="008C3ABA" w:rsidP="00F54AC3">
      <w:pPr>
        <w:contextualSpacing/>
      </w:pPr>
      <w:r w:rsidRPr="00966088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1C5025E" wp14:editId="0DF8A891">
            <wp:simplePos x="0" y="0"/>
            <wp:positionH relativeFrom="column">
              <wp:posOffset>-3175</wp:posOffset>
            </wp:positionH>
            <wp:positionV relativeFrom="paragraph">
              <wp:posOffset>-2540</wp:posOffset>
            </wp:positionV>
            <wp:extent cx="439663" cy="449580"/>
            <wp:effectExtent l="0" t="0" r="0" b="7620"/>
            <wp:wrapTight wrapText="bothSides">
              <wp:wrapPolygon edited="0">
                <wp:start x="0" y="0"/>
                <wp:lineTo x="0" y="21051"/>
                <wp:lineTo x="20601" y="21051"/>
                <wp:lineTo x="20601" y="0"/>
                <wp:lineTo x="0" y="0"/>
              </wp:wrapPolygon>
            </wp:wrapTight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63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61A" w:rsidRPr="00966088">
        <w:t xml:space="preserve">Tlačítko </w:t>
      </w:r>
      <w:r w:rsidR="00C7761A" w:rsidRPr="00966088">
        <w:rPr>
          <w:i/>
        </w:rPr>
        <w:t>pauza</w:t>
      </w:r>
      <w:r w:rsidR="00C7761A" w:rsidRPr="00966088">
        <w:t xml:space="preserve"> – umožňuje zastavení animace v okamžiku, kdy uživatel na</w:t>
      </w:r>
      <w:r w:rsidR="000519AC">
        <w:t> </w:t>
      </w:r>
      <w:r w:rsidR="00C7761A" w:rsidRPr="00966088">
        <w:t xml:space="preserve">dané tlačítko klikne. Po kliknutí na tlačítko </w:t>
      </w:r>
      <w:r w:rsidR="00C7761A" w:rsidRPr="00966088">
        <w:rPr>
          <w:i/>
        </w:rPr>
        <w:t>přehrát</w:t>
      </w:r>
      <w:r w:rsidR="00C7761A" w:rsidRPr="00966088">
        <w:t xml:space="preserve"> animace pokračuje v přehrávání.</w:t>
      </w:r>
    </w:p>
    <w:p w14:paraId="44F6934D" w14:textId="77777777" w:rsidR="00776A06" w:rsidRPr="00966088" w:rsidRDefault="00776A06" w:rsidP="00F54AC3">
      <w:pPr>
        <w:contextualSpacing/>
      </w:pPr>
    </w:p>
    <w:p w14:paraId="4E136818" w14:textId="701F1476" w:rsidR="00C7761A" w:rsidRPr="00966088" w:rsidRDefault="00C7761A" w:rsidP="00776A06">
      <w:pPr>
        <w:pStyle w:val="Nadpis1"/>
      </w:pPr>
      <w:bookmarkStart w:id="1" w:name="_Toc512191333"/>
      <w:r w:rsidRPr="00966088">
        <w:t xml:space="preserve">Animace </w:t>
      </w:r>
      <w:bookmarkEnd w:id="1"/>
    </w:p>
    <w:p w14:paraId="598D475F" w14:textId="77777777" w:rsidR="00C7761A" w:rsidRPr="00966088" w:rsidRDefault="00C7761A" w:rsidP="00C7761A">
      <w:r w:rsidRPr="00966088">
        <w:tab/>
        <w:t xml:space="preserve">Animace 1 </w:t>
      </w:r>
      <w:r w:rsidR="00776E93" w:rsidRPr="00966088">
        <w:t xml:space="preserve">představuje acyklickou podobu glukosy, která není v lineární formě, ale zobrazuje úhly mezi jednotlivými vazbami. </w:t>
      </w:r>
      <w:r w:rsidR="00FA14AE" w:rsidRPr="00966088">
        <w:t>Pro lepší orientaci a představu jsou uhlíky očísl</w:t>
      </w:r>
      <w:r w:rsidR="00681F2B">
        <w:t>ován</w:t>
      </w:r>
      <w:r w:rsidR="00FA14AE" w:rsidRPr="00966088">
        <w:t>y. Molekula glukosy je zobrazena v</w:t>
      </w:r>
      <w:r w:rsidR="00776E93" w:rsidRPr="00966088">
        <w:t xml:space="preserve"> klínov</w:t>
      </w:r>
      <w:r w:rsidR="00FA14AE" w:rsidRPr="00966088">
        <w:t>é</w:t>
      </w:r>
      <w:r w:rsidR="00776E93" w:rsidRPr="00966088">
        <w:t xml:space="preserve"> projekci, ve které byly použity plné klíny pro znázornění vazeb směřujících „dopředu“ a příčně šrafované klíny znázorňující vazby směřující „dozadu“</w:t>
      </w:r>
      <w:r w:rsidR="00BA6F7B" w:rsidRPr="00966088">
        <w:t xml:space="preserve"> (viz obrázek č. 17)</w:t>
      </w:r>
      <w:r w:rsidR="00776E93" w:rsidRPr="00966088">
        <w:t>. Po spuštění animace se</w:t>
      </w:r>
      <w:r w:rsidR="00D52157">
        <w:t> </w:t>
      </w:r>
      <w:r w:rsidR="00776E93" w:rsidRPr="00966088">
        <w:t xml:space="preserve">molekula glukosy </w:t>
      </w:r>
      <w:r w:rsidR="00215F74" w:rsidRPr="00966088">
        <w:t xml:space="preserve">natočí do takové pozice, ze které je snazší </w:t>
      </w:r>
      <w:r w:rsidR="00BA6F7B" w:rsidRPr="00966088">
        <w:t>pochopit její</w:t>
      </w:r>
      <w:r w:rsidR="00215F74" w:rsidRPr="00966088">
        <w:t xml:space="preserve"> přepsání do</w:t>
      </w:r>
      <w:r w:rsidR="00D52157">
        <w:t> </w:t>
      </w:r>
      <w:r w:rsidR="00215F74" w:rsidRPr="00966088">
        <w:t>Fischerova vzorce</w:t>
      </w:r>
      <w:r w:rsidR="00BA6F7B" w:rsidRPr="00966088">
        <w:t xml:space="preserve"> (viz obrázek č. 18).</w:t>
      </w:r>
    </w:p>
    <w:p w14:paraId="1BF7DB82" w14:textId="77777777" w:rsidR="00BA6F7B" w:rsidRPr="00966088" w:rsidRDefault="00BA6F7B" w:rsidP="004B7813">
      <w:pPr>
        <w:pStyle w:val="obrazek"/>
      </w:pPr>
      <w:r w:rsidRPr="00966088">
        <w:drawing>
          <wp:inline distT="0" distB="0" distL="0" distR="0" wp14:anchorId="1767830B" wp14:editId="791AF198">
            <wp:extent cx="1762125" cy="2555028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232" cy="261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9C8" w:rsidRPr="00966088">
        <w:t xml:space="preserve">                                 </w:t>
      </w:r>
      <w:r w:rsidRPr="00F133F0">
        <w:drawing>
          <wp:inline distT="0" distB="0" distL="0" distR="0" wp14:anchorId="19B341B1" wp14:editId="0CEBE551">
            <wp:extent cx="2080260" cy="2685382"/>
            <wp:effectExtent l="0" t="0" r="0" b="127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351" cy="27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CD575" w14:textId="77777777" w:rsidR="00BA6F7B" w:rsidRPr="00966088" w:rsidRDefault="00BA6F7B" w:rsidP="004B7813">
      <w:pPr>
        <w:pStyle w:val="textpodobr"/>
      </w:pPr>
      <w:r w:rsidRPr="00966088">
        <w:t xml:space="preserve">Obrázek č. 17 – Animace 1, výchozí </w:t>
      </w:r>
      <w:r w:rsidR="00DD06CD" w:rsidRPr="00966088">
        <w:t>forma</w:t>
      </w:r>
      <w:r w:rsidR="005029C8" w:rsidRPr="00966088">
        <w:tab/>
      </w:r>
      <w:r w:rsidR="005029C8" w:rsidRPr="00966088">
        <w:tab/>
        <w:t>Obrázek č. 18 – Animace 1, výsledek</w:t>
      </w:r>
    </w:p>
    <w:p w14:paraId="1785AB12" w14:textId="66449543" w:rsidR="005029C8" w:rsidRPr="00966088" w:rsidRDefault="005029C8" w:rsidP="00776A06">
      <w:pPr>
        <w:pStyle w:val="Nadpis1"/>
      </w:pPr>
      <w:bookmarkStart w:id="2" w:name="_Toc512191334"/>
      <w:r w:rsidRPr="008B5743">
        <w:lastRenderedPageBreak/>
        <w:t>Animace</w:t>
      </w:r>
      <w:r w:rsidRPr="00966088">
        <w:t xml:space="preserve"> </w:t>
      </w:r>
      <w:bookmarkEnd w:id="2"/>
    </w:p>
    <w:p w14:paraId="7E00828A" w14:textId="77777777" w:rsidR="005029C8" w:rsidRPr="00966088" w:rsidRDefault="005029C8" w:rsidP="005029C8">
      <w:r w:rsidRPr="00966088">
        <w:tab/>
        <w:t>Animace 2 zobrazuje přepsání acyklické molekuly glukosy do Fischerova vzorce. Jako výchozí forma je použita molekula glukosy po natočení z Animace 1 (obrázek č.</w:t>
      </w:r>
      <w:r w:rsidR="003868CD">
        <w:t> </w:t>
      </w:r>
      <w:r w:rsidRPr="00966088">
        <w:t>18). Postupně se v animaci pomocí barevných rámečků zvýrazňují části molekuly po jednotlivých uhlících, které se přepisují do Fischerova vzorce</w:t>
      </w:r>
      <w:r w:rsidR="00FA14AE" w:rsidRPr="00966088">
        <w:t xml:space="preserve"> (viz obrázek č. 19).</w:t>
      </w:r>
    </w:p>
    <w:p w14:paraId="749CE064" w14:textId="77777777" w:rsidR="005029C8" w:rsidRPr="00966088" w:rsidRDefault="00FA14AE" w:rsidP="004B7813">
      <w:pPr>
        <w:pStyle w:val="obrazek"/>
      </w:pPr>
      <w:r w:rsidRPr="00966088">
        <w:drawing>
          <wp:inline distT="0" distB="0" distL="0" distR="0" wp14:anchorId="50C908E0" wp14:editId="4B6658E8">
            <wp:extent cx="3574473" cy="2407778"/>
            <wp:effectExtent l="0" t="0" r="698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570" cy="247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94AB3" w14:textId="77777777" w:rsidR="00FA14AE" w:rsidRPr="00966088" w:rsidRDefault="00FA14AE" w:rsidP="004B7813">
      <w:pPr>
        <w:pStyle w:val="textpodobr"/>
      </w:pPr>
      <w:r w:rsidRPr="00966088">
        <w:t>Obrázek č. 19 – Animace 2, přepis do Fischerova vzorce</w:t>
      </w:r>
    </w:p>
    <w:p w14:paraId="19937DEF" w14:textId="77777777" w:rsidR="00FA14AE" w:rsidRPr="00966088" w:rsidRDefault="00FA14AE" w:rsidP="00FA14AE">
      <w:r w:rsidRPr="00966088">
        <w:tab/>
      </w:r>
      <w:r w:rsidR="00F20030" w:rsidRPr="00966088">
        <w:t xml:space="preserve">Symbol oka </w:t>
      </w:r>
      <w:r w:rsidR="00901441" w:rsidRPr="00966088">
        <w:t>naznačuje úhel pohledu, ze kterého se uživatel na model glukosy dív</w:t>
      </w:r>
      <w:r w:rsidR="005D13B5" w:rsidRPr="00966088">
        <w:t>á</w:t>
      </w:r>
      <w:r w:rsidR="00901441" w:rsidRPr="00966088">
        <w:t xml:space="preserve">. Při přepisu do Fischerovy projekce se pak vazby s plným klínem (směřující dopředu) zapisují na pravou stranu, vazby s šrafovaným klínem na levou. </w:t>
      </w:r>
      <w:r w:rsidR="008B7BC6" w:rsidRPr="00966088">
        <w:t>Ve výsledném Fischerově vzorci jsou jednotlivé uhlíky očíslovány a hvězdičkou jsou naznačena chirální centra na</w:t>
      </w:r>
      <w:r w:rsidR="003868CD">
        <w:t> </w:t>
      </w:r>
      <w:r w:rsidR="008B7BC6" w:rsidRPr="00966088">
        <w:t xml:space="preserve">uhlíku 2, 3, 4 a 5 (viz obrázek č. 20). </w:t>
      </w:r>
    </w:p>
    <w:p w14:paraId="4A53098C" w14:textId="77777777" w:rsidR="008B7BC6" w:rsidRPr="00966088" w:rsidRDefault="008B7BC6" w:rsidP="004B7813">
      <w:pPr>
        <w:pStyle w:val="obrazek"/>
      </w:pPr>
      <w:r w:rsidRPr="00966088">
        <w:drawing>
          <wp:inline distT="0" distB="0" distL="0" distR="0" wp14:anchorId="306DACD3" wp14:editId="7A8BEDBF">
            <wp:extent cx="3435010" cy="2664000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010" cy="26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223E3" w14:textId="77777777" w:rsidR="008B7BC6" w:rsidRPr="00966088" w:rsidRDefault="008B7BC6" w:rsidP="004B7813">
      <w:pPr>
        <w:pStyle w:val="textpodobr"/>
      </w:pPr>
      <w:r w:rsidRPr="00966088">
        <w:t xml:space="preserve">Obrázek č. 20 – Animace 2, </w:t>
      </w:r>
      <w:r w:rsidR="00BC75BA" w:rsidRPr="00966088">
        <w:rPr>
          <w:smallCaps/>
        </w:rPr>
        <w:t>d/l-</w:t>
      </w:r>
      <w:r w:rsidR="00BC75BA" w:rsidRPr="00966088">
        <w:t>glukosa ve Fischerově projekci</w:t>
      </w:r>
    </w:p>
    <w:p w14:paraId="5D47A81C" w14:textId="77777777" w:rsidR="00BC75BA" w:rsidRPr="00966088" w:rsidRDefault="00BC75BA" w:rsidP="00BC75BA">
      <w:r w:rsidRPr="00966088">
        <w:lastRenderedPageBreak/>
        <w:t>Modrý rámeček zvýrazňuje 5. uhlík, který je zároveň posledním chirálním uhlíkem v molekule glukosy, podle kterého se určuje její konfigurace. Pokud hydroxylová skupina navázaná na tento uhlík směřuje ve Fischerově vzorci doprava, jedná se o</w:t>
      </w:r>
      <w:r w:rsidR="000519AC">
        <w:t> </w:t>
      </w:r>
      <w:r w:rsidRPr="00966088">
        <w:rPr>
          <w:smallCaps/>
        </w:rPr>
        <w:t>d</w:t>
      </w:r>
      <w:r w:rsidR="00172D7A">
        <w:rPr>
          <w:smallCaps/>
        </w:rPr>
        <w:noBreakHyphen/>
      </w:r>
      <w:r w:rsidR="00172D7A">
        <w:t>monosacharid (</w:t>
      </w:r>
      <w:r w:rsidR="00AC6AA0">
        <w:t xml:space="preserve">v animaci </w:t>
      </w:r>
      <w:r w:rsidR="00172D7A">
        <w:t xml:space="preserve">konkrétně o </w:t>
      </w:r>
      <w:r w:rsidR="00172D7A" w:rsidRPr="00966088">
        <w:rPr>
          <w:smallCaps/>
        </w:rPr>
        <w:t>d</w:t>
      </w:r>
      <w:r w:rsidR="00172D7A">
        <w:rPr>
          <w:smallCaps/>
        </w:rPr>
        <w:noBreakHyphen/>
      </w:r>
      <w:r w:rsidR="00172D7A" w:rsidRPr="004B7813">
        <w:t>glukosu</w:t>
      </w:r>
      <w:r w:rsidR="00172D7A">
        <w:rPr>
          <w:smallCaps/>
        </w:rPr>
        <w:t>)</w:t>
      </w:r>
      <w:r w:rsidRPr="00966088">
        <w:t xml:space="preserve">, jestliže směřuje doleva, </w:t>
      </w:r>
      <w:r w:rsidR="00672DC4" w:rsidRPr="00966088">
        <w:t xml:space="preserve">jedná se o </w:t>
      </w:r>
      <w:r w:rsidR="00672DC4" w:rsidRPr="00966088">
        <w:rPr>
          <w:smallCaps/>
        </w:rPr>
        <w:t>l-</w:t>
      </w:r>
      <w:r w:rsidR="00172D7A">
        <w:t xml:space="preserve">monosacharid. </w:t>
      </w:r>
      <w:r w:rsidR="00AC6AA0">
        <w:t xml:space="preserve">V případě, že všechny substituenty na chirálních centrech mají opačnou orientaci než původní </w:t>
      </w:r>
      <w:r w:rsidR="00AC6AA0" w:rsidRPr="004B7813">
        <w:rPr>
          <w:smallCaps/>
        </w:rPr>
        <w:t>d</w:t>
      </w:r>
      <w:r w:rsidR="00AC6AA0">
        <w:t xml:space="preserve">-glukosa, jedná se o </w:t>
      </w:r>
      <w:r w:rsidR="00AC6AA0" w:rsidRPr="004B7813">
        <w:rPr>
          <w:smallCaps/>
        </w:rPr>
        <w:t>l</w:t>
      </w:r>
      <w:r w:rsidR="00AC6AA0">
        <w:t>-glukosu,</w:t>
      </w:r>
      <w:r w:rsidR="00672DC4" w:rsidRPr="00966088">
        <w:t xml:space="preserve"> která je zrcadlovým obrazem </w:t>
      </w:r>
      <w:r w:rsidR="00672DC4" w:rsidRPr="00966088">
        <w:rPr>
          <w:smallCaps/>
        </w:rPr>
        <w:t>d</w:t>
      </w:r>
      <w:r w:rsidR="00172D7A">
        <w:rPr>
          <w:smallCaps/>
        </w:rPr>
        <w:noBreakHyphen/>
      </w:r>
      <w:r w:rsidR="00672DC4" w:rsidRPr="00966088">
        <w:t>glukosy, což je v animaci naznačeno</w:t>
      </w:r>
      <w:r w:rsidR="005D13B5" w:rsidRPr="00966088">
        <w:t xml:space="preserve"> „přetočením“ molekuly</w:t>
      </w:r>
      <w:r w:rsidR="00672DC4" w:rsidRPr="00966088">
        <w:t xml:space="preserve">. </w:t>
      </w:r>
    </w:p>
    <w:p w14:paraId="210922B3" w14:textId="7360ECFF" w:rsidR="00672DC4" w:rsidRPr="00966088" w:rsidRDefault="00672DC4" w:rsidP="00776A06">
      <w:pPr>
        <w:pStyle w:val="Nadpis1"/>
      </w:pPr>
      <w:bookmarkStart w:id="3" w:name="_Toc512191335"/>
      <w:r w:rsidRPr="00966088">
        <w:t xml:space="preserve">Animace </w:t>
      </w:r>
      <w:bookmarkEnd w:id="3"/>
    </w:p>
    <w:p w14:paraId="7684EF69" w14:textId="77777777" w:rsidR="00672DC4" w:rsidRPr="00966088" w:rsidRDefault="00672DC4" w:rsidP="00672DC4">
      <w:r w:rsidRPr="00966088">
        <w:tab/>
        <w:t>Animace 3 začíná cyklizací glukosy, kdy se acyklická molekula glukosy st</w:t>
      </w:r>
      <w:r w:rsidR="005D13B5" w:rsidRPr="00966088">
        <w:t>á</w:t>
      </w:r>
      <w:r w:rsidRPr="00966088">
        <w:t>čí</w:t>
      </w:r>
      <w:r w:rsidR="005069D4" w:rsidRPr="00966088">
        <w:t xml:space="preserve"> do glukopyranosy. Výchozí forma molekuly je </w:t>
      </w:r>
      <w:r w:rsidR="00A15731" w:rsidRPr="00966088">
        <w:t>stejná jako v předchozích dvou animacích, kde jsou zachovány vazebné úhly, molekula je však zobrazena ve vodorovné poloze</w:t>
      </w:r>
      <w:r w:rsidR="00DD06CD" w:rsidRPr="00966088">
        <w:t xml:space="preserve"> (viz obrázek č. 21)</w:t>
      </w:r>
      <w:r w:rsidR="00A15731" w:rsidRPr="00966088">
        <w:t xml:space="preserve">. </w:t>
      </w:r>
      <w:r w:rsidR="001A49BF" w:rsidRPr="00966088">
        <w:t xml:space="preserve">Molekula se postupně stáčí </w:t>
      </w:r>
      <w:r w:rsidR="00DD06CD" w:rsidRPr="00966088">
        <w:t xml:space="preserve">a následně je pomocí zahnutých šipek naznačen pohyb elektronů, kdy hydroxylová skupina na 5. uhlíku ztrácí vodík </w:t>
      </w:r>
      <w:r w:rsidR="00AC6AA0">
        <w:t xml:space="preserve">(resp. proton) </w:t>
      </w:r>
      <w:r w:rsidR="00DD06CD" w:rsidRPr="00966088">
        <w:t>a vytváří vazbu s 1. uhlíkem, čímž se molekula zacyklí do glukopyranosy (viz obrázek č. 22).</w:t>
      </w:r>
    </w:p>
    <w:p w14:paraId="64E18CCC" w14:textId="77777777" w:rsidR="00DD06CD" w:rsidRPr="00966088" w:rsidRDefault="00DD06CD" w:rsidP="004B7813">
      <w:pPr>
        <w:pStyle w:val="obrazek"/>
      </w:pPr>
      <w:r w:rsidRPr="00966088">
        <w:t xml:space="preserve"> </w:t>
      </w:r>
      <w:r w:rsidRPr="00966088">
        <w:drawing>
          <wp:inline distT="0" distB="0" distL="0" distR="0" wp14:anchorId="652CA315" wp14:editId="7C794FA4">
            <wp:extent cx="2251494" cy="1116000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494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6088">
        <w:t xml:space="preserve">                                </w:t>
      </w:r>
      <w:r w:rsidRPr="00966088">
        <w:drawing>
          <wp:inline distT="0" distB="0" distL="0" distR="0" wp14:anchorId="54F13FD0" wp14:editId="4629E481">
            <wp:extent cx="1857457" cy="1512000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457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35F7A" w14:textId="77777777" w:rsidR="008C3ABA" w:rsidRPr="00966088" w:rsidRDefault="00DD06CD" w:rsidP="004B7813">
      <w:pPr>
        <w:pStyle w:val="textpodobr"/>
      </w:pPr>
      <w:r w:rsidRPr="00966088">
        <w:t xml:space="preserve">Obrázek č. 21 – Animace 3, </w:t>
      </w:r>
      <w:r w:rsidR="00F133F0">
        <w:t xml:space="preserve">začátek       </w:t>
      </w:r>
      <w:r w:rsidRPr="00966088">
        <w:t>Obrázek č. 22 – Animace 3,</w:t>
      </w:r>
      <w:r w:rsidR="006F1CCC" w:rsidRPr="00966088">
        <w:t xml:space="preserve"> naznačení zacyklení</w:t>
      </w:r>
    </w:p>
    <w:p w14:paraId="1CD29E58" w14:textId="77777777" w:rsidR="006F1CCC" w:rsidRPr="00966088" w:rsidRDefault="006F1CCC" w:rsidP="006F1CCC">
      <w:r w:rsidRPr="00966088">
        <w:tab/>
      </w:r>
      <w:r w:rsidR="008D1677" w:rsidRPr="00966088">
        <w:t>Dále jsou použity vzorce vytvořené v programu ChemSketch. Glukopyranosa je</w:t>
      </w:r>
      <w:r w:rsidR="003868CD">
        <w:t> </w:t>
      </w:r>
      <w:r w:rsidR="008D1677" w:rsidRPr="00966088">
        <w:t>zobrazena pomocí Haworthova vzorce a odpovídající strukturou v židličkové konformaci. Hydroxylová skupina na 1. uhlíku je navázána pomocí vlnovky, která představuje vazbu naznačující prozatím nejasnou konfiguraci na stereogenním centru (viz</w:t>
      </w:r>
      <w:r w:rsidR="003868CD">
        <w:t> </w:t>
      </w:r>
      <w:r w:rsidR="008D1677" w:rsidRPr="00966088">
        <w:t>obrázek č. 23).</w:t>
      </w:r>
    </w:p>
    <w:p w14:paraId="57115355" w14:textId="77777777" w:rsidR="008D1677" w:rsidRPr="00966088" w:rsidRDefault="008D1677" w:rsidP="004B7813">
      <w:pPr>
        <w:pStyle w:val="obrazek"/>
      </w:pPr>
      <w:r w:rsidRPr="00F133F0">
        <w:lastRenderedPageBreak/>
        <w:drawing>
          <wp:inline distT="0" distB="0" distL="0" distR="0" wp14:anchorId="50300FD0" wp14:editId="5EDB8E6E">
            <wp:extent cx="4025821" cy="2664000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821" cy="26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6DB04" w14:textId="77777777" w:rsidR="008D1677" w:rsidRPr="00966088" w:rsidRDefault="008D1677" w:rsidP="004B7813">
      <w:pPr>
        <w:pStyle w:val="textpodobr"/>
      </w:pPr>
      <w:r w:rsidRPr="00966088">
        <w:t>Obrázek č. 23 – Animace 3,</w:t>
      </w:r>
      <w:r w:rsidR="008B584B" w:rsidRPr="00966088">
        <w:t xml:space="preserve"> Haworthův vzorec a židličková konformace</w:t>
      </w:r>
      <w:r w:rsidRPr="00966088">
        <w:t xml:space="preserve"> </w:t>
      </w:r>
      <w:r w:rsidRPr="00966088">
        <w:rPr>
          <w:smallCaps/>
        </w:rPr>
        <w:t>d-</w:t>
      </w:r>
      <w:r w:rsidRPr="00966088">
        <w:t>glukos</w:t>
      </w:r>
      <w:r w:rsidR="008B584B" w:rsidRPr="00966088">
        <w:t>y</w:t>
      </w:r>
    </w:p>
    <w:p w14:paraId="57FCFAF3" w14:textId="77777777" w:rsidR="008B584B" w:rsidRPr="00966088" w:rsidRDefault="008B584B" w:rsidP="008B584B">
      <w:pPr>
        <w:rPr>
          <w:rFonts w:cs="Times New Roman"/>
        </w:rPr>
      </w:pPr>
      <w:r w:rsidRPr="00966088">
        <w:t xml:space="preserve">Animace pokračuje představením dvou anomerů </w:t>
      </w:r>
      <w:r w:rsidRPr="00966088">
        <w:rPr>
          <w:rFonts w:ascii="Cambria Math" w:hAnsi="Cambria Math"/>
        </w:rPr>
        <w:t>α</w:t>
      </w:r>
      <w:r w:rsidRPr="00966088">
        <w:rPr>
          <w:rFonts w:cs="Times New Roman"/>
        </w:rPr>
        <w:t>/</w:t>
      </w:r>
      <w:r w:rsidRPr="00966088">
        <w:rPr>
          <w:rFonts w:ascii="Cambria Math" w:hAnsi="Cambria Math" w:cs="Times New Roman"/>
        </w:rPr>
        <w:t>β</w:t>
      </w:r>
      <w:r w:rsidRPr="00966088">
        <w:rPr>
          <w:rFonts w:cs="Times New Roman"/>
        </w:rPr>
        <w:t>-</w:t>
      </w:r>
      <w:r w:rsidRPr="00966088">
        <w:rPr>
          <w:smallCaps/>
        </w:rPr>
        <w:t>d</w:t>
      </w:r>
      <w:r w:rsidRPr="00966088">
        <w:t xml:space="preserve">-glukopyranosy. </w:t>
      </w:r>
      <w:r w:rsidR="00783DA5" w:rsidRPr="00966088">
        <w:t>R</w:t>
      </w:r>
      <w:r w:rsidR="00C917C3" w:rsidRPr="00966088">
        <w:t>ozdíl mezi nimi je vysvětlen na základě postavení hydroxylové skupiny na 1. uhlíku a</w:t>
      </w:r>
      <w:r w:rsidR="00783DA5" w:rsidRPr="00966088">
        <w:t> </w:t>
      </w:r>
      <w:r w:rsidR="00C917C3" w:rsidRPr="00966088">
        <w:t xml:space="preserve">celé </w:t>
      </w:r>
      <w:r w:rsidR="00AC6AA0">
        <w:noBreakHyphen/>
      </w:r>
      <w:r w:rsidR="00C917C3" w:rsidRPr="00966088">
        <w:t>CH</w:t>
      </w:r>
      <w:r w:rsidR="00C917C3" w:rsidRPr="00966088">
        <w:rPr>
          <w:vertAlign w:val="subscript"/>
        </w:rPr>
        <w:t>2</w:t>
      </w:r>
      <w:r w:rsidR="00C917C3" w:rsidRPr="00966088">
        <w:t xml:space="preserve">OH skupiny na 5. uhlíku. Tyto dvě skupiny jsou zvýrazněny pomocí červených rámečků. </w:t>
      </w:r>
      <w:r w:rsidR="00783DA5" w:rsidRPr="00966088">
        <w:rPr>
          <w:rFonts w:cs="Times New Roman"/>
        </w:rPr>
        <w:t>Pokud j</w:t>
      </w:r>
      <w:r w:rsidR="00074BF7">
        <w:rPr>
          <w:rFonts w:cs="Times New Roman"/>
        </w:rPr>
        <w:t>e hydroxylová</w:t>
      </w:r>
      <w:r w:rsidR="00783DA5" w:rsidRPr="00966088">
        <w:rPr>
          <w:rFonts w:cs="Times New Roman"/>
        </w:rPr>
        <w:t xml:space="preserve"> skupina </w:t>
      </w:r>
      <w:r w:rsidR="00193822">
        <w:rPr>
          <w:rFonts w:cs="Times New Roman"/>
        </w:rPr>
        <w:t xml:space="preserve">na 1. uhlíku </w:t>
      </w:r>
      <w:r w:rsidR="00074BF7" w:rsidRPr="00193822">
        <w:rPr>
          <w:rFonts w:cs="Times New Roman"/>
        </w:rPr>
        <w:t>orientovaná</w:t>
      </w:r>
      <w:r w:rsidR="00783DA5" w:rsidRPr="00193822">
        <w:rPr>
          <w:rFonts w:cs="Times New Roman"/>
        </w:rPr>
        <w:t xml:space="preserve"> </w:t>
      </w:r>
      <w:r w:rsidR="00783DA5" w:rsidRPr="00193822">
        <w:rPr>
          <w:rFonts w:cs="Times New Roman"/>
          <w:i/>
        </w:rPr>
        <w:t>trans</w:t>
      </w:r>
      <w:r w:rsidR="00193822">
        <w:rPr>
          <w:rFonts w:cs="Times New Roman"/>
        </w:rPr>
        <w:t xml:space="preserve"> vůči substituentu </w:t>
      </w:r>
      <w:r w:rsidR="00193822">
        <w:noBreakHyphen/>
      </w:r>
      <w:r w:rsidR="00193822" w:rsidRPr="00966088">
        <w:t>CH</w:t>
      </w:r>
      <w:r w:rsidR="00193822" w:rsidRPr="00966088">
        <w:rPr>
          <w:vertAlign w:val="subscript"/>
        </w:rPr>
        <w:t>2</w:t>
      </w:r>
      <w:r w:rsidR="00193822" w:rsidRPr="00966088">
        <w:t>OH</w:t>
      </w:r>
      <w:r w:rsidR="00193822">
        <w:t xml:space="preserve"> </w:t>
      </w:r>
      <w:r w:rsidR="00193822">
        <w:rPr>
          <w:rFonts w:cs="Times New Roman"/>
        </w:rPr>
        <w:t>(jedna skupina směřuje nad rovinu, druhá pod ni)</w:t>
      </w:r>
      <w:r w:rsidR="00783DA5" w:rsidRPr="00193822">
        <w:rPr>
          <w:rFonts w:cs="Times New Roman"/>
        </w:rPr>
        <w:t>,</w:t>
      </w:r>
      <w:r w:rsidR="00783DA5" w:rsidRPr="00966088">
        <w:rPr>
          <w:rFonts w:cs="Times New Roman"/>
        </w:rPr>
        <w:t xml:space="preserve"> </w:t>
      </w:r>
      <w:r w:rsidR="00193822">
        <w:rPr>
          <w:rFonts w:cs="Times New Roman"/>
        </w:rPr>
        <w:t>jedná se o </w:t>
      </w:r>
      <w:r w:rsidR="00783DA5" w:rsidRPr="00966088">
        <w:rPr>
          <w:rFonts w:cs="Times New Roman"/>
        </w:rPr>
        <w:t xml:space="preserve">anomer </w:t>
      </w:r>
      <w:r w:rsidR="00783DA5" w:rsidRPr="00966088">
        <w:rPr>
          <w:rFonts w:ascii="Cambria Math" w:hAnsi="Cambria Math"/>
        </w:rPr>
        <w:t>α</w:t>
      </w:r>
      <w:r w:rsidR="00783DA5" w:rsidRPr="00966088">
        <w:rPr>
          <w:rFonts w:cs="Times New Roman"/>
        </w:rPr>
        <w:t>.</w:t>
      </w:r>
      <w:r w:rsidR="00783DA5" w:rsidRPr="00966088">
        <w:t xml:space="preserve"> </w:t>
      </w:r>
      <w:r w:rsidR="00C917C3" w:rsidRPr="00966088">
        <w:t xml:space="preserve">Pokud </w:t>
      </w:r>
      <w:r w:rsidR="00193822">
        <w:t xml:space="preserve">jsou </w:t>
      </w:r>
      <w:r w:rsidR="00C917C3" w:rsidRPr="00966088">
        <w:t>skupiny</w:t>
      </w:r>
      <w:r w:rsidR="00193822">
        <w:t xml:space="preserve"> vůči sobě orientované </w:t>
      </w:r>
      <w:r w:rsidR="00193822">
        <w:rPr>
          <w:i/>
        </w:rPr>
        <w:t>cis</w:t>
      </w:r>
      <w:r w:rsidR="00C917C3" w:rsidRPr="00966088">
        <w:t xml:space="preserve"> </w:t>
      </w:r>
      <w:r w:rsidR="00193822">
        <w:t>(</w:t>
      </w:r>
      <w:r w:rsidR="00C917C3" w:rsidRPr="00966088">
        <w:t xml:space="preserve">směřují </w:t>
      </w:r>
      <w:r w:rsidR="00783DA5" w:rsidRPr="00966088">
        <w:t xml:space="preserve">nad rovinu kruhu), jedná se o anomer </w:t>
      </w:r>
      <w:r w:rsidR="00783DA5" w:rsidRPr="00966088">
        <w:rPr>
          <w:rFonts w:ascii="Cambria Math" w:hAnsi="Cambria Math" w:cs="Times New Roman"/>
        </w:rPr>
        <w:t>β</w:t>
      </w:r>
      <w:r w:rsidR="00193822">
        <w:rPr>
          <w:rFonts w:cs="Times New Roman"/>
        </w:rPr>
        <w:t>, který má všechny hydroxylové skupiny v ekvatoriální poloze a je tedy stabilnější</w:t>
      </w:r>
      <w:r w:rsidR="00783DA5" w:rsidRPr="00966088">
        <w:rPr>
          <w:rFonts w:cs="Times New Roman"/>
        </w:rPr>
        <w:t xml:space="preserve"> </w:t>
      </w:r>
      <w:r w:rsidR="00D7104D">
        <w:rPr>
          <w:rFonts w:cs="Times New Roman"/>
        </w:rPr>
        <w:t xml:space="preserve">(21) </w:t>
      </w:r>
      <w:r w:rsidR="00783DA5" w:rsidRPr="00966088">
        <w:rPr>
          <w:rFonts w:cs="Times New Roman"/>
        </w:rPr>
        <w:t>(viz obrázek č. 24).</w:t>
      </w:r>
    </w:p>
    <w:p w14:paraId="1F341598" w14:textId="77777777" w:rsidR="00783DA5" w:rsidRPr="00966088" w:rsidRDefault="00783DA5" w:rsidP="004B7813">
      <w:pPr>
        <w:pStyle w:val="obrazek"/>
      </w:pPr>
      <w:r w:rsidRPr="00966088">
        <w:drawing>
          <wp:inline distT="0" distB="0" distL="0" distR="0" wp14:anchorId="27F3F312" wp14:editId="54C0BC99">
            <wp:extent cx="4069203" cy="2664000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203" cy="26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D2F7A" w14:textId="77777777" w:rsidR="00783DA5" w:rsidRPr="00966088" w:rsidRDefault="00783DA5" w:rsidP="004B7813">
      <w:pPr>
        <w:pStyle w:val="textpodobr"/>
      </w:pPr>
      <w:r w:rsidRPr="00966088">
        <w:t xml:space="preserve">Obrázek č. 24 – Animace 3, porovnání anomerů </w:t>
      </w:r>
      <w:r w:rsidRPr="007F1AE5">
        <w:rPr>
          <w:rFonts w:ascii="Cambria Math" w:hAnsi="Cambria Math"/>
        </w:rPr>
        <w:t>α</w:t>
      </w:r>
      <w:r w:rsidRPr="007F1AE5">
        <w:t>/</w:t>
      </w:r>
      <w:r w:rsidRPr="007F1AE5">
        <w:rPr>
          <w:rFonts w:ascii="Cambria Math" w:hAnsi="Cambria Math"/>
        </w:rPr>
        <w:t>β</w:t>
      </w:r>
      <w:r w:rsidRPr="00966088">
        <w:t>-</w:t>
      </w:r>
      <w:r w:rsidRPr="00966088">
        <w:rPr>
          <w:smallCaps/>
        </w:rPr>
        <w:t>d</w:t>
      </w:r>
      <w:r w:rsidRPr="00966088">
        <w:t>-glukopyranosy</w:t>
      </w:r>
    </w:p>
    <w:sectPr w:rsidR="00783DA5" w:rsidRPr="00966088" w:rsidSect="00776A06">
      <w:pgSz w:w="11906" w:h="16838"/>
      <w:pgMar w:top="1135" w:right="1416" w:bottom="1135" w:left="1985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9DD021" w16cid:durableId="1E875FBF"/>
  <w16cid:commentId w16cid:paraId="3C46419A" w16cid:durableId="1E875F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3FC55" w14:textId="77777777" w:rsidR="000D247C" w:rsidRDefault="000D247C" w:rsidP="00F971F6">
      <w:pPr>
        <w:spacing w:after="0" w:line="240" w:lineRule="auto"/>
      </w:pPr>
      <w:r>
        <w:separator/>
      </w:r>
    </w:p>
  </w:endnote>
  <w:endnote w:type="continuationSeparator" w:id="0">
    <w:p w14:paraId="0A03477C" w14:textId="77777777" w:rsidR="000D247C" w:rsidRDefault="000D247C" w:rsidP="00F971F6">
      <w:pPr>
        <w:spacing w:after="0" w:line="240" w:lineRule="auto"/>
      </w:pPr>
      <w:r>
        <w:continuationSeparator/>
      </w:r>
    </w:p>
  </w:endnote>
  <w:endnote w:type="continuationNotice" w:id="1">
    <w:p w14:paraId="596881A8" w14:textId="77777777" w:rsidR="000D247C" w:rsidRDefault="000D24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93B31" w14:textId="77777777" w:rsidR="000D247C" w:rsidRDefault="000D247C" w:rsidP="00F971F6">
      <w:pPr>
        <w:spacing w:after="0" w:line="240" w:lineRule="auto"/>
      </w:pPr>
      <w:r>
        <w:separator/>
      </w:r>
    </w:p>
  </w:footnote>
  <w:footnote w:type="continuationSeparator" w:id="0">
    <w:p w14:paraId="69390D10" w14:textId="77777777" w:rsidR="000D247C" w:rsidRDefault="000D247C" w:rsidP="00F971F6">
      <w:pPr>
        <w:spacing w:after="0" w:line="240" w:lineRule="auto"/>
      </w:pPr>
      <w:r>
        <w:continuationSeparator/>
      </w:r>
    </w:p>
  </w:footnote>
  <w:footnote w:type="continuationNotice" w:id="1">
    <w:p w14:paraId="279B14B9" w14:textId="77777777" w:rsidR="000D247C" w:rsidRDefault="000D24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675BD"/>
    <w:multiLevelType w:val="hybridMultilevel"/>
    <w:tmpl w:val="5A92F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4A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0564C3"/>
    <w:multiLevelType w:val="hybridMultilevel"/>
    <w:tmpl w:val="A70AAAF6"/>
    <w:lvl w:ilvl="0" w:tplc="3FFC17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73FA3"/>
    <w:multiLevelType w:val="hybridMultilevel"/>
    <w:tmpl w:val="02605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42979"/>
    <w:multiLevelType w:val="hybridMultilevel"/>
    <w:tmpl w:val="1B6AF962"/>
    <w:lvl w:ilvl="0" w:tplc="50761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23B23"/>
    <w:multiLevelType w:val="hybridMultilevel"/>
    <w:tmpl w:val="823226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87C2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C1C0A7E"/>
    <w:multiLevelType w:val="hybridMultilevel"/>
    <w:tmpl w:val="614AE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B3"/>
    <w:rsid w:val="000056F8"/>
    <w:rsid w:val="000059B4"/>
    <w:rsid w:val="00012457"/>
    <w:rsid w:val="0001246E"/>
    <w:rsid w:val="00012591"/>
    <w:rsid w:val="00032001"/>
    <w:rsid w:val="00045E7D"/>
    <w:rsid w:val="000519AC"/>
    <w:rsid w:val="00052B3E"/>
    <w:rsid w:val="00074A71"/>
    <w:rsid w:val="00074BF7"/>
    <w:rsid w:val="00077DE1"/>
    <w:rsid w:val="00081A0C"/>
    <w:rsid w:val="000A094D"/>
    <w:rsid w:val="000C042E"/>
    <w:rsid w:val="000D1318"/>
    <w:rsid w:val="000D247C"/>
    <w:rsid w:val="000E4162"/>
    <w:rsid w:val="000E4ED7"/>
    <w:rsid w:val="000E6D48"/>
    <w:rsid w:val="000F4A21"/>
    <w:rsid w:val="000F5A05"/>
    <w:rsid w:val="000F5C6A"/>
    <w:rsid w:val="000F7047"/>
    <w:rsid w:val="001018FA"/>
    <w:rsid w:val="00102486"/>
    <w:rsid w:val="0010636E"/>
    <w:rsid w:val="00111A26"/>
    <w:rsid w:val="00111F6E"/>
    <w:rsid w:val="00112AA5"/>
    <w:rsid w:val="0011446B"/>
    <w:rsid w:val="00120C77"/>
    <w:rsid w:val="0012463D"/>
    <w:rsid w:val="00126F75"/>
    <w:rsid w:val="001335EE"/>
    <w:rsid w:val="00141426"/>
    <w:rsid w:val="00142E5B"/>
    <w:rsid w:val="001434EA"/>
    <w:rsid w:val="00150137"/>
    <w:rsid w:val="0016406D"/>
    <w:rsid w:val="0016419A"/>
    <w:rsid w:val="00166367"/>
    <w:rsid w:val="00170F1D"/>
    <w:rsid w:val="00172D7A"/>
    <w:rsid w:val="0018172A"/>
    <w:rsid w:val="00190DB0"/>
    <w:rsid w:val="001913CA"/>
    <w:rsid w:val="00191524"/>
    <w:rsid w:val="00193822"/>
    <w:rsid w:val="00195806"/>
    <w:rsid w:val="001972D6"/>
    <w:rsid w:val="001A49BF"/>
    <w:rsid w:val="001C3D90"/>
    <w:rsid w:val="001D3719"/>
    <w:rsid w:val="001D4794"/>
    <w:rsid w:val="001D55BB"/>
    <w:rsid w:val="001E0C5D"/>
    <w:rsid w:val="001E1ED0"/>
    <w:rsid w:val="001F5C57"/>
    <w:rsid w:val="00202D35"/>
    <w:rsid w:val="00203BC1"/>
    <w:rsid w:val="00204660"/>
    <w:rsid w:val="0021037C"/>
    <w:rsid w:val="0021216E"/>
    <w:rsid w:val="00214B6F"/>
    <w:rsid w:val="00215F74"/>
    <w:rsid w:val="0023549F"/>
    <w:rsid w:val="0023580C"/>
    <w:rsid w:val="002447C0"/>
    <w:rsid w:val="00260B1E"/>
    <w:rsid w:val="002645C6"/>
    <w:rsid w:val="002739F7"/>
    <w:rsid w:val="00273DDD"/>
    <w:rsid w:val="002741F2"/>
    <w:rsid w:val="00277F62"/>
    <w:rsid w:val="00281A63"/>
    <w:rsid w:val="0028569E"/>
    <w:rsid w:val="00292327"/>
    <w:rsid w:val="00294596"/>
    <w:rsid w:val="002978AC"/>
    <w:rsid w:val="002A0AEA"/>
    <w:rsid w:val="002A1DE5"/>
    <w:rsid w:val="002A7A57"/>
    <w:rsid w:val="002A7ABE"/>
    <w:rsid w:val="002B3F09"/>
    <w:rsid w:val="002C53A0"/>
    <w:rsid w:val="002C7168"/>
    <w:rsid w:val="002E0C13"/>
    <w:rsid w:val="002E75CD"/>
    <w:rsid w:val="002F380B"/>
    <w:rsid w:val="003019A5"/>
    <w:rsid w:val="00301F43"/>
    <w:rsid w:val="00301F5E"/>
    <w:rsid w:val="00307A82"/>
    <w:rsid w:val="003127CC"/>
    <w:rsid w:val="00313F86"/>
    <w:rsid w:val="00315AE3"/>
    <w:rsid w:val="00320B20"/>
    <w:rsid w:val="00342191"/>
    <w:rsid w:val="00362CD4"/>
    <w:rsid w:val="0037515E"/>
    <w:rsid w:val="003751C2"/>
    <w:rsid w:val="003868CD"/>
    <w:rsid w:val="00394C9E"/>
    <w:rsid w:val="003A0048"/>
    <w:rsid w:val="003A5E19"/>
    <w:rsid w:val="003A6D73"/>
    <w:rsid w:val="003B3BC0"/>
    <w:rsid w:val="003B5655"/>
    <w:rsid w:val="003B7274"/>
    <w:rsid w:val="003D074B"/>
    <w:rsid w:val="003D339A"/>
    <w:rsid w:val="003F42C2"/>
    <w:rsid w:val="004165BE"/>
    <w:rsid w:val="0042697D"/>
    <w:rsid w:val="00426C4C"/>
    <w:rsid w:val="00433D48"/>
    <w:rsid w:val="004417F4"/>
    <w:rsid w:val="00445DD3"/>
    <w:rsid w:val="00445DEB"/>
    <w:rsid w:val="00450139"/>
    <w:rsid w:val="0045354A"/>
    <w:rsid w:val="00466199"/>
    <w:rsid w:val="00484FAC"/>
    <w:rsid w:val="00486C21"/>
    <w:rsid w:val="00490658"/>
    <w:rsid w:val="004A5A6F"/>
    <w:rsid w:val="004A72D1"/>
    <w:rsid w:val="004B2431"/>
    <w:rsid w:val="004B3B39"/>
    <w:rsid w:val="004B7813"/>
    <w:rsid w:val="004C1254"/>
    <w:rsid w:val="004C2433"/>
    <w:rsid w:val="004C3400"/>
    <w:rsid w:val="004D5D4C"/>
    <w:rsid w:val="004E3924"/>
    <w:rsid w:val="004E414C"/>
    <w:rsid w:val="004F0E4B"/>
    <w:rsid w:val="004F60B3"/>
    <w:rsid w:val="005029C8"/>
    <w:rsid w:val="005069D4"/>
    <w:rsid w:val="00531443"/>
    <w:rsid w:val="0053441C"/>
    <w:rsid w:val="0054541E"/>
    <w:rsid w:val="00561430"/>
    <w:rsid w:val="00576186"/>
    <w:rsid w:val="00577EDF"/>
    <w:rsid w:val="00595A62"/>
    <w:rsid w:val="00597898"/>
    <w:rsid w:val="005A1C42"/>
    <w:rsid w:val="005A2A4C"/>
    <w:rsid w:val="005B667E"/>
    <w:rsid w:val="005C7D10"/>
    <w:rsid w:val="005D13B5"/>
    <w:rsid w:val="005D196D"/>
    <w:rsid w:val="005D298F"/>
    <w:rsid w:val="005D77E5"/>
    <w:rsid w:val="005E02D2"/>
    <w:rsid w:val="005E2FB5"/>
    <w:rsid w:val="005E3CD6"/>
    <w:rsid w:val="005E3D41"/>
    <w:rsid w:val="005E5BD0"/>
    <w:rsid w:val="005E681E"/>
    <w:rsid w:val="005E6BCF"/>
    <w:rsid w:val="005F2E88"/>
    <w:rsid w:val="005F31F0"/>
    <w:rsid w:val="005F6809"/>
    <w:rsid w:val="00601553"/>
    <w:rsid w:val="00615EC2"/>
    <w:rsid w:val="0061631E"/>
    <w:rsid w:val="00623549"/>
    <w:rsid w:val="00630FB9"/>
    <w:rsid w:val="00631147"/>
    <w:rsid w:val="00632AC2"/>
    <w:rsid w:val="006375C9"/>
    <w:rsid w:val="00640406"/>
    <w:rsid w:val="00640996"/>
    <w:rsid w:val="00640D63"/>
    <w:rsid w:val="006417B8"/>
    <w:rsid w:val="0065566C"/>
    <w:rsid w:val="0066042D"/>
    <w:rsid w:val="00666B19"/>
    <w:rsid w:val="00672D8E"/>
    <w:rsid w:val="00672DC4"/>
    <w:rsid w:val="00675B33"/>
    <w:rsid w:val="00681F2B"/>
    <w:rsid w:val="00684801"/>
    <w:rsid w:val="006908C9"/>
    <w:rsid w:val="00696A5D"/>
    <w:rsid w:val="006A2925"/>
    <w:rsid w:val="006A48FC"/>
    <w:rsid w:val="006A637B"/>
    <w:rsid w:val="006B1C74"/>
    <w:rsid w:val="006B7CCA"/>
    <w:rsid w:val="006C10F8"/>
    <w:rsid w:val="006C6700"/>
    <w:rsid w:val="006C71B1"/>
    <w:rsid w:val="006D0FFE"/>
    <w:rsid w:val="006D3B3F"/>
    <w:rsid w:val="006F1CCC"/>
    <w:rsid w:val="00700A3B"/>
    <w:rsid w:val="00701559"/>
    <w:rsid w:val="0072127A"/>
    <w:rsid w:val="00730074"/>
    <w:rsid w:val="00734C72"/>
    <w:rsid w:val="00736581"/>
    <w:rsid w:val="00745DD0"/>
    <w:rsid w:val="0074637F"/>
    <w:rsid w:val="00753B49"/>
    <w:rsid w:val="007638AA"/>
    <w:rsid w:val="00770327"/>
    <w:rsid w:val="0077181C"/>
    <w:rsid w:val="00771FE6"/>
    <w:rsid w:val="00776A06"/>
    <w:rsid w:val="00776E93"/>
    <w:rsid w:val="00777D21"/>
    <w:rsid w:val="00783ABD"/>
    <w:rsid w:val="00783DA5"/>
    <w:rsid w:val="00787B7B"/>
    <w:rsid w:val="007A6481"/>
    <w:rsid w:val="007A6B23"/>
    <w:rsid w:val="007B1E8B"/>
    <w:rsid w:val="007E4B9B"/>
    <w:rsid w:val="007E60DB"/>
    <w:rsid w:val="007E7F88"/>
    <w:rsid w:val="007F1AE5"/>
    <w:rsid w:val="00813A77"/>
    <w:rsid w:val="00815A6F"/>
    <w:rsid w:val="00827AD8"/>
    <w:rsid w:val="00837631"/>
    <w:rsid w:val="0084283B"/>
    <w:rsid w:val="00880D9D"/>
    <w:rsid w:val="00890EFB"/>
    <w:rsid w:val="0089677E"/>
    <w:rsid w:val="00896A02"/>
    <w:rsid w:val="008A4391"/>
    <w:rsid w:val="008B0A84"/>
    <w:rsid w:val="008B1096"/>
    <w:rsid w:val="008B1284"/>
    <w:rsid w:val="008B2F67"/>
    <w:rsid w:val="008B3C7E"/>
    <w:rsid w:val="008B5743"/>
    <w:rsid w:val="008B584B"/>
    <w:rsid w:val="008B7BC6"/>
    <w:rsid w:val="008C3ABA"/>
    <w:rsid w:val="008C5215"/>
    <w:rsid w:val="008D1677"/>
    <w:rsid w:val="008D5BFC"/>
    <w:rsid w:val="008D5F24"/>
    <w:rsid w:val="008F423C"/>
    <w:rsid w:val="008F7B97"/>
    <w:rsid w:val="00901441"/>
    <w:rsid w:val="00916EE3"/>
    <w:rsid w:val="00917227"/>
    <w:rsid w:val="00924072"/>
    <w:rsid w:val="009264A4"/>
    <w:rsid w:val="009357EE"/>
    <w:rsid w:val="00945554"/>
    <w:rsid w:val="009506EB"/>
    <w:rsid w:val="009622EE"/>
    <w:rsid w:val="00964660"/>
    <w:rsid w:val="00966088"/>
    <w:rsid w:val="009849D1"/>
    <w:rsid w:val="009A0312"/>
    <w:rsid w:val="009A069A"/>
    <w:rsid w:val="009A2B65"/>
    <w:rsid w:val="009B023E"/>
    <w:rsid w:val="009B3753"/>
    <w:rsid w:val="009D0A9C"/>
    <w:rsid w:val="009E1B78"/>
    <w:rsid w:val="009E1F02"/>
    <w:rsid w:val="009E572B"/>
    <w:rsid w:val="009E657A"/>
    <w:rsid w:val="00A130FF"/>
    <w:rsid w:val="00A15731"/>
    <w:rsid w:val="00A203F2"/>
    <w:rsid w:val="00A231EB"/>
    <w:rsid w:val="00A262E9"/>
    <w:rsid w:val="00A27D0A"/>
    <w:rsid w:val="00A32169"/>
    <w:rsid w:val="00A33327"/>
    <w:rsid w:val="00A36ED6"/>
    <w:rsid w:val="00A45C92"/>
    <w:rsid w:val="00A463B4"/>
    <w:rsid w:val="00A4764D"/>
    <w:rsid w:val="00A51750"/>
    <w:rsid w:val="00A5483A"/>
    <w:rsid w:val="00A559CD"/>
    <w:rsid w:val="00A620A6"/>
    <w:rsid w:val="00A6374E"/>
    <w:rsid w:val="00A6608A"/>
    <w:rsid w:val="00A8309A"/>
    <w:rsid w:val="00A86FD3"/>
    <w:rsid w:val="00A87111"/>
    <w:rsid w:val="00A95567"/>
    <w:rsid w:val="00AA05AD"/>
    <w:rsid w:val="00AA41F4"/>
    <w:rsid w:val="00AB1969"/>
    <w:rsid w:val="00AC360D"/>
    <w:rsid w:val="00AC406F"/>
    <w:rsid w:val="00AC5979"/>
    <w:rsid w:val="00AC6AA0"/>
    <w:rsid w:val="00AD0257"/>
    <w:rsid w:val="00AD197A"/>
    <w:rsid w:val="00AD70D4"/>
    <w:rsid w:val="00AF21F2"/>
    <w:rsid w:val="00AF4728"/>
    <w:rsid w:val="00AF7102"/>
    <w:rsid w:val="00AF72DB"/>
    <w:rsid w:val="00B15AFA"/>
    <w:rsid w:val="00B17C8B"/>
    <w:rsid w:val="00B203B0"/>
    <w:rsid w:val="00B2380B"/>
    <w:rsid w:val="00B27E5D"/>
    <w:rsid w:val="00B3048A"/>
    <w:rsid w:val="00B451EB"/>
    <w:rsid w:val="00B46546"/>
    <w:rsid w:val="00B467F8"/>
    <w:rsid w:val="00B57402"/>
    <w:rsid w:val="00B60307"/>
    <w:rsid w:val="00B71AF7"/>
    <w:rsid w:val="00B74049"/>
    <w:rsid w:val="00B9682B"/>
    <w:rsid w:val="00BA1AB3"/>
    <w:rsid w:val="00BA4AC4"/>
    <w:rsid w:val="00BA5429"/>
    <w:rsid w:val="00BA6538"/>
    <w:rsid w:val="00BA6F7B"/>
    <w:rsid w:val="00BB2E61"/>
    <w:rsid w:val="00BB4E01"/>
    <w:rsid w:val="00BB6851"/>
    <w:rsid w:val="00BC3BD1"/>
    <w:rsid w:val="00BC44E6"/>
    <w:rsid w:val="00BC75BA"/>
    <w:rsid w:val="00BD0131"/>
    <w:rsid w:val="00BD081A"/>
    <w:rsid w:val="00BD0D4B"/>
    <w:rsid w:val="00BD0E71"/>
    <w:rsid w:val="00BD2D90"/>
    <w:rsid w:val="00BD4D81"/>
    <w:rsid w:val="00BD56F2"/>
    <w:rsid w:val="00BE2A7D"/>
    <w:rsid w:val="00BE790B"/>
    <w:rsid w:val="00C01B50"/>
    <w:rsid w:val="00C13E1A"/>
    <w:rsid w:val="00C27FF9"/>
    <w:rsid w:val="00C47986"/>
    <w:rsid w:val="00C51893"/>
    <w:rsid w:val="00C55F9F"/>
    <w:rsid w:val="00C60B23"/>
    <w:rsid w:val="00C61A48"/>
    <w:rsid w:val="00C741DA"/>
    <w:rsid w:val="00C76C4D"/>
    <w:rsid w:val="00C76F08"/>
    <w:rsid w:val="00C7761A"/>
    <w:rsid w:val="00C8673D"/>
    <w:rsid w:val="00C914E6"/>
    <w:rsid w:val="00C917C3"/>
    <w:rsid w:val="00C91FAA"/>
    <w:rsid w:val="00CA36B2"/>
    <w:rsid w:val="00CA3EF9"/>
    <w:rsid w:val="00CA4CD9"/>
    <w:rsid w:val="00CC1084"/>
    <w:rsid w:val="00CC6C6E"/>
    <w:rsid w:val="00CD2CDF"/>
    <w:rsid w:val="00CE1FC3"/>
    <w:rsid w:val="00CE3FDC"/>
    <w:rsid w:val="00CE6442"/>
    <w:rsid w:val="00CF37D5"/>
    <w:rsid w:val="00CF616C"/>
    <w:rsid w:val="00D06C53"/>
    <w:rsid w:val="00D07E81"/>
    <w:rsid w:val="00D10929"/>
    <w:rsid w:val="00D14997"/>
    <w:rsid w:val="00D23B17"/>
    <w:rsid w:val="00D27335"/>
    <w:rsid w:val="00D32879"/>
    <w:rsid w:val="00D40772"/>
    <w:rsid w:val="00D44017"/>
    <w:rsid w:val="00D50CBE"/>
    <w:rsid w:val="00D52157"/>
    <w:rsid w:val="00D552D5"/>
    <w:rsid w:val="00D55EAB"/>
    <w:rsid w:val="00D601CC"/>
    <w:rsid w:val="00D6259F"/>
    <w:rsid w:val="00D64742"/>
    <w:rsid w:val="00D7104D"/>
    <w:rsid w:val="00D724E4"/>
    <w:rsid w:val="00D81DE0"/>
    <w:rsid w:val="00D82BB5"/>
    <w:rsid w:val="00D93DA4"/>
    <w:rsid w:val="00D95B6F"/>
    <w:rsid w:val="00DA2E3F"/>
    <w:rsid w:val="00DB2C0C"/>
    <w:rsid w:val="00DB42A0"/>
    <w:rsid w:val="00DB5D5B"/>
    <w:rsid w:val="00DB75AF"/>
    <w:rsid w:val="00DD04FE"/>
    <w:rsid w:val="00DD06CD"/>
    <w:rsid w:val="00DD23FC"/>
    <w:rsid w:val="00DD64A4"/>
    <w:rsid w:val="00DE18E5"/>
    <w:rsid w:val="00DE3212"/>
    <w:rsid w:val="00DE37D7"/>
    <w:rsid w:val="00DE3F2A"/>
    <w:rsid w:val="00DF0F13"/>
    <w:rsid w:val="00E01BB8"/>
    <w:rsid w:val="00E162DE"/>
    <w:rsid w:val="00E255F3"/>
    <w:rsid w:val="00E341B2"/>
    <w:rsid w:val="00E43A8A"/>
    <w:rsid w:val="00E451FF"/>
    <w:rsid w:val="00E458C9"/>
    <w:rsid w:val="00E66476"/>
    <w:rsid w:val="00E7332B"/>
    <w:rsid w:val="00E74FE6"/>
    <w:rsid w:val="00E802A3"/>
    <w:rsid w:val="00E8282D"/>
    <w:rsid w:val="00E92C29"/>
    <w:rsid w:val="00E94E7D"/>
    <w:rsid w:val="00EA085A"/>
    <w:rsid w:val="00EA5A88"/>
    <w:rsid w:val="00EA6C57"/>
    <w:rsid w:val="00EB11DC"/>
    <w:rsid w:val="00EB3887"/>
    <w:rsid w:val="00EB6F46"/>
    <w:rsid w:val="00EC35B3"/>
    <w:rsid w:val="00EE3315"/>
    <w:rsid w:val="00EE43FF"/>
    <w:rsid w:val="00EE6290"/>
    <w:rsid w:val="00EE6A55"/>
    <w:rsid w:val="00EF4102"/>
    <w:rsid w:val="00EF6A7A"/>
    <w:rsid w:val="00EF6BA9"/>
    <w:rsid w:val="00F069C6"/>
    <w:rsid w:val="00F133F0"/>
    <w:rsid w:val="00F20030"/>
    <w:rsid w:val="00F239F9"/>
    <w:rsid w:val="00F54AC3"/>
    <w:rsid w:val="00F649A4"/>
    <w:rsid w:val="00F65C52"/>
    <w:rsid w:val="00F66804"/>
    <w:rsid w:val="00F8773C"/>
    <w:rsid w:val="00F971F6"/>
    <w:rsid w:val="00FA14AE"/>
    <w:rsid w:val="00FA74D5"/>
    <w:rsid w:val="00FB2C5D"/>
    <w:rsid w:val="00FB614D"/>
    <w:rsid w:val="00FC16D1"/>
    <w:rsid w:val="00FC2DDA"/>
    <w:rsid w:val="00FF1E77"/>
    <w:rsid w:val="00FF6F19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92AD9"/>
  <w15:docId w15:val="{4044C507-A81E-4917-8A27-6581BC7B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A8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93822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3822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3822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B667E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3A8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3A8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3A8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3A8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3A8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1F6"/>
  </w:style>
  <w:style w:type="paragraph" w:styleId="Zpat">
    <w:name w:val="footer"/>
    <w:basedOn w:val="Normln"/>
    <w:link w:val="ZpatChar"/>
    <w:uiPriority w:val="99"/>
    <w:unhideWhenUsed/>
    <w:rsid w:val="00F9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71F6"/>
  </w:style>
  <w:style w:type="character" w:customStyle="1" w:styleId="Nadpis1Char">
    <w:name w:val="Nadpis 1 Char"/>
    <w:basedOn w:val="Standardnpsmoodstavce"/>
    <w:link w:val="Nadpis1"/>
    <w:uiPriority w:val="9"/>
    <w:rsid w:val="00193822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645C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A4AC4"/>
    <w:pPr>
      <w:tabs>
        <w:tab w:val="left" w:pos="440"/>
        <w:tab w:val="right" w:leader="dot" w:pos="8495"/>
      </w:tabs>
      <w:spacing w:after="0"/>
    </w:pPr>
  </w:style>
  <w:style w:type="character" w:styleId="Hypertextovodkaz">
    <w:name w:val="Hyperlink"/>
    <w:basedOn w:val="Standardnpsmoodstavce"/>
    <w:uiPriority w:val="99"/>
    <w:unhideWhenUsed/>
    <w:rsid w:val="002645C6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93822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93822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B667E"/>
    <w:rPr>
      <w:rFonts w:ascii="Times New Roman" w:eastAsiaTheme="majorEastAsia" w:hAnsi="Times New Roman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3A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3A8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3A8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3A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3A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C51893"/>
    <w:rPr>
      <w:color w:val="808080"/>
    </w:rPr>
  </w:style>
  <w:style w:type="paragraph" w:styleId="Odstavecseseznamem">
    <w:name w:val="List Paragraph"/>
    <w:basedOn w:val="Normln"/>
    <w:uiPriority w:val="34"/>
    <w:qFormat/>
    <w:rsid w:val="00C518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5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80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3580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71FE6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B17C8B"/>
    <w:rPr>
      <w:color w:val="954F72" w:themeColor="followed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EA6C57"/>
    <w:pPr>
      <w:spacing w:after="100" w:line="276" w:lineRule="auto"/>
      <w:ind w:left="220"/>
      <w:jc w:val="left"/>
    </w:pPr>
    <w:rPr>
      <w:rFonts w:asciiTheme="minorHAnsi" w:hAnsiTheme="minorHAnsi"/>
      <w:sz w:val="22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A6C57"/>
    <w:pPr>
      <w:spacing w:after="100" w:line="276" w:lineRule="auto"/>
      <w:ind w:left="440"/>
      <w:jc w:val="left"/>
    </w:pPr>
    <w:rPr>
      <w:rFonts w:asciiTheme="minorHAnsi" w:hAnsiTheme="minorHAnsi"/>
      <w:sz w:val="22"/>
    </w:rPr>
  </w:style>
  <w:style w:type="paragraph" w:customStyle="1" w:styleId="obrazek">
    <w:name w:val="obrazek"/>
    <w:basedOn w:val="Normln"/>
    <w:qFormat/>
    <w:rsid w:val="00EA6C57"/>
    <w:pPr>
      <w:keepNext/>
      <w:spacing w:before="200" w:after="0"/>
      <w:jc w:val="center"/>
    </w:pPr>
    <w:rPr>
      <w:rFonts w:cs="Times New Roman"/>
      <w:noProof/>
      <w:lang w:eastAsia="cs-CZ"/>
    </w:rPr>
  </w:style>
  <w:style w:type="paragraph" w:customStyle="1" w:styleId="textpodobr">
    <w:name w:val="text pod obr"/>
    <w:basedOn w:val="Normln"/>
    <w:qFormat/>
    <w:rsid w:val="00EA6C57"/>
    <w:pPr>
      <w:spacing w:after="240"/>
      <w:jc w:val="center"/>
    </w:pPr>
    <w:rPr>
      <w:rFonts w:cs="Times New Roman"/>
      <w:i/>
    </w:rPr>
  </w:style>
  <w:style w:type="paragraph" w:styleId="Bezmezer">
    <w:name w:val="No Spacing"/>
    <w:uiPriority w:val="1"/>
    <w:qFormat/>
    <w:rsid w:val="00EA6C5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77EDF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273DD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odtavec">
    <w:name w:val="odtavec"/>
    <w:basedOn w:val="Normln"/>
    <w:qFormat/>
    <w:rsid w:val="00273DDD"/>
    <w:pPr>
      <w:spacing w:before="200" w:after="120"/>
      <w:ind w:firstLine="709"/>
      <w:contextualSpacing/>
    </w:pPr>
    <w:rPr>
      <w:rFonts w:asciiTheme="minorHAnsi" w:hAnsiTheme="minorHAnsi"/>
    </w:rPr>
  </w:style>
  <w:style w:type="character" w:styleId="Siln">
    <w:name w:val="Strong"/>
    <w:basedOn w:val="Standardnpsmoodstavce"/>
    <w:uiPriority w:val="22"/>
    <w:qFormat/>
    <w:rsid w:val="00273DDD"/>
    <w:rPr>
      <w:b/>
      <w:bCs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74049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A620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20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20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20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20A6"/>
    <w:rPr>
      <w:rFonts w:ascii="Times New Roman" w:hAnsi="Times New Roman"/>
      <w:b/>
      <w:bCs/>
      <w:sz w:val="20"/>
      <w:szCs w:val="20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906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77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3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9FDC4-1798-4865-8D81-DF9B6DCA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Hanča</dc:creator>
  <cp:keywords/>
  <dc:description/>
  <cp:lastModifiedBy>user</cp:lastModifiedBy>
  <cp:revision>5</cp:revision>
  <dcterms:created xsi:type="dcterms:W3CDTF">2020-08-28T19:12:00Z</dcterms:created>
  <dcterms:modified xsi:type="dcterms:W3CDTF">2020-09-09T14:55:00Z</dcterms:modified>
</cp:coreProperties>
</file>